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firstLine="0" w:firstLineChars="0"/>
        <w:jc w:val="both"/>
        <w:textAlignment w:val="center"/>
        <w:outlineLvl w:val="9"/>
        <w:rPr>
          <w:rFonts w:hint="eastAsia" w:ascii="仿宋_GB2312" w:hAnsi="仿宋_GB2312" w:eastAsia="仿宋_GB2312" w:cs="仿宋_GB2312"/>
          <w:i w:val="0"/>
          <w:color w:val="auto"/>
          <w:kern w:val="0"/>
          <w:sz w:val="32"/>
          <w:szCs w:val="32"/>
          <w:u w:val="none"/>
          <w:lang w:val="en-US" w:eastAsia="zh-CN" w:bidi="ar"/>
        </w:rPr>
      </w:pPr>
      <w:r>
        <w:rPr>
          <w:rFonts w:hint="eastAsia" w:ascii="仿宋_GB2312" w:hAnsi="仿宋_GB2312" w:eastAsia="仿宋_GB2312" w:cs="仿宋_GB2312"/>
          <w:i w:val="0"/>
          <w:color w:val="auto"/>
          <w:kern w:val="0"/>
          <w:sz w:val="32"/>
          <w:szCs w:val="32"/>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360" w:lineRule="auto"/>
        <w:ind w:left="105" w:leftChars="50" w:right="105" w:rightChars="50" w:firstLine="0" w:firstLineChars="0"/>
        <w:jc w:val="center"/>
        <w:textAlignment w:val="center"/>
        <w:outlineLvl w:val="9"/>
        <w:rPr>
          <w:rFonts w:hint="eastAsia" w:ascii="方正小标宋简体" w:hAnsi="方正小标宋简体" w:eastAsia="方正小标宋简体" w:cs="方正小标宋简体"/>
          <w:i w:val="0"/>
          <w:color w:val="auto"/>
          <w:kern w:val="0"/>
          <w:sz w:val="44"/>
          <w:szCs w:val="44"/>
          <w:u w:val="none"/>
          <w:lang w:val="en-US" w:eastAsia="zh-CN" w:bidi="ar"/>
        </w:rPr>
      </w:pPr>
      <w:bookmarkStart w:id="0" w:name="_GoBack"/>
      <w:r>
        <w:rPr>
          <w:rFonts w:hint="eastAsia" w:ascii="方正小标宋简体" w:hAnsi="方正小标宋简体" w:eastAsia="方正小标宋简体" w:cs="方正小标宋简体"/>
          <w:i w:val="0"/>
          <w:color w:val="auto"/>
          <w:kern w:val="0"/>
          <w:sz w:val="44"/>
          <w:szCs w:val="44"/>
          <w:u w:val="none"/>
          <w:lang w:val="en-US" w:eastAsia="zh-CN" w:bidi="ar"/>
        </w:rPr>
        <w:t>整合划入市场监管综合行政执法范围的商务、盐业执法事项目录</w:t>
      </w:r>
    </w:p>
    <w:bookmarkEnd w:id="0"/>
    <w:tbl>
      <w:tblPr>
        <w:tblStyle w:val="3"/>
        <w:tblpPr w:leftFromText="180" w:rightFromText="180" w:vertAnchor="text" w:horzAnchor="page" w:tblpX="1371" w:tblpY="1727"/>
        <w:tblOverlap w:val="never"/>
        <w:tblW w:w="132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57" w:type="dxa"/>
          <w:left w:w="28" w:type="dxa"/>
          <w:bottom w:w="57" w:type="dxa"/>
          <w:right w:w="28" w:type="dxa"/>
        </w:tblCellMar>
      </w:tblPr>
      <w:tblGrid>
        <w:gridCol w:w="578"/>
        <w:gridCol w:w="436"/>
        <w:gridCol w:w="1560"/>
        <w:gridCol w:w="3017"/>
        <w:gridCol w:w="1003"/>
        <w:gridCol w:w="4455"/>
        <w:gridCol w:w="711"/>
        <w:gridCol w:w="797"/>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679" w:hRule="atLeast"/>
        </w:trPr>
        <w:tc>
          <w:tcPr>
            <w:tcW w:w="65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执法事项清单</w:t>
            </w:r>
          </w:p>
        </w:tc>
        <w:tc>
          <w:tcPr>
            <w:tcW w:w="4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职责边界</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划出</w:t>
            </w:r>
          </w:p>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部门</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主体</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kern w:val="0"/>
                <w:sz w:val="28"/>
                <w:szCs w:val="28"/>
                <w:u w:val="none"/>
                <w:lang w:val="en-US" w:eastAsia="zh-CN" w:bidi="ar"/>
              </w:rPr>
            </w:pPr>
            <w:r>
              <w:rPr>
                <w:rFonts w:hint="eastAsia" w:ascii="黑体" w:hAnsi="宋体" w:eastAsia="黑体" w:cs="黑体"/>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73"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序号</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方面</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事项编码</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105" w:leftChars="50" w:right="105" w:rightChars="5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事项名称</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具体划转执法事项</w:t>
            </w:r>
          </w:p>
        </w:tc>
        <w:tc>
          <w:tcPr>
            <w:tcW w:w="4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8"/>
                <w:szCs w:val="28"/>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0"/>
                <w:szCs w:val="20"/>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5" w:leftChars="50" w:right="105" w:rightChars="50" w:firstLine="0" w:firstLineChars="0"/>
              <w:jc w:val="center"/>
              <w:outlineLvl w:val="9"/>
              <w:rPr>
                <w:rFonts w:hint="eastAsia" w:ascii="黑体" w:hAnsi="宋体" w:eastAsia="黑体" w:cs="黑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611" w:hRule="atLeast"/>
        </w:trPr>
        <w:tc>
          <w:tcPr>
            <w:tcW w:w="1326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left"/>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一、商务（共62项）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888" w:hRule="atLeast"/>
        </w:trPr>
        <w:tc>
          <w:tcPr>
            <w:tcW w:w="5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1</w:t>
            </w:r>
          </w:p>
        </w:tc>
        <w:tc>
          <w:tcPr>
            <w:tcW w:w="43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单用途预付卡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330221038001</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对单用途商业预付卡集团企业、品牌发卡企业违反备案规定的行政处罚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78"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330221038002</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对单用途商业预付卡规模发卡企业违反备案规定的行政处罚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5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330221038003</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对单用途商业预付卡其他发卡企业违反备案规定的行政处罚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5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330221036000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对单用途商业预付卡发卡企业或售卡企业违反单用途商业预付卡发行与服务相关规定的行政处罚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4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330221035000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对单用途商业预付卡发卡企业违反单用途商业预付卡资金管理相关规定的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4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6</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单用途预付凭证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330221016000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对经营者违反单用途商业预付凭证发行管理相关规定的行政处罚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821"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7</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汽车销售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对汽车经销商出售未经授权销售</w:t>
            </w:r>
            <w:r>
              <w:rPr>
                <w:rStyle w:val="6"/>
                <w:color w:val="auto"/>
                <w:sz w:val="21"/>
                <w:szCs w:val="21"/>
                <w:lang w:val="en-US" w:eastAsia="zh-CN" w:bidi="ar"/>
              </w:rPr>
              <w:t>的</w:t>
            </w:r>
            <w:r>
              <w:rPr>
                <w:rStyle w:val="5"/>
                <w:color w:val="auto"/>
                <w:sz w:val="21"/>
                <w:szCs w:val="21"/>
                <w:lang w:val="en-US" w:eastAsia="zh-CN" w:bidi="ar"/>
              </w:rPr>
              <w:t>汽车，未书面向消费者提醒、说明销售汽车授权情况，或未经授权、授权终止后以供应商授权名义从事汽车销售经营活动的行政处罚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40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对汽车经销商不明码标价销售的行政处罚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330221047003</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对汽车经销商、供应商限定消费者户籍所在地、产品提供</w:t>
            </w:r>
            <w:r>
              <w:rPr>
                <w:rStyle w:val="8"/>
                <w:color w:val="auto"/>
                <w:sz w:val="21"/>
                <w:szCs w:val="21"/>
                <w:lang w:val="en-US" w:eastAsia="zh-CN" w:bidi="ar"/>
              </w:rPr>
              <w:t>商</w:t>
            </w:r>
            <w:r>
              <w:rPr>
                <w:rStyle w:val="7"/>
                <w:color w:val="auto"/>
                <w:sz w:val="21"/>
                <w:szCs w:val="21"/>
                <w:lang w:val="en-US" w:eastAsia="zh-CN" w:bidi="ar"/>
              </w:rPr>
              <w:t>和售后服务</w:t>
            </w:r>
            <w:r>
              <w:rPr>
                <w:rStyle w:val="8"/>
                <w:color w:val="auto"/>
                <w:sz w:val="21"/>
                <w:szCs w:val="21"/>
                <w:lang w:val="en-US" w:eastAsia="zh-CN" w:bidi="ar"/>
              </w:rPr>
              <w:t>商</w:t>
            </w:r>
            <w:r>
              <w:rPr>
                <w:rStyle w:val="7"/>
                <w:color w:val="auto"/>
                <w:sz w:val="21"/>
                <w:szCs w:val="21"/>
                <w:lang w:val="en-US" w:eastAsia="zh-CN" w:bidi="ar"/>
              </w:rPr>
              <w:t>，强制购买保险、提供代办登记等服务的行政处罚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7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1</w:t>
            </w:r>
            <w:r>
              <w:rPr>
                <w:rFonts w:hint="eastAsia" w:asciiTheme="minorEastAsia" w:hAnsiTheme="minorEastAsia" w:cstheme="minorEastAsia"/>
                <w:i w:val="0"/>
                <w:color w:val="auto"/>
                <w:kern w:val="0"/>
                <w:sz w:val="21"/>
                <w:szCs w:val="21"/>
                <w:u w:val="none"/>
                <w:lang w:val="en-US" w:eastAsia="zh-CN" w:bidi="ar"/>
              </w:rPr>
              <w:t>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330221047004</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对汽车经销商、供应商不落实提供连续售后服务的行政处罚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2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1</w:t>
            </w:r>
            <w:r>
              <w:rPr>
                <w:rFonts w:hint="eastAsia" w:asciiTheme="minorEastAsia" w:hAnsiTheme="minorEastAsia" w:cstheme="minorEastAsia"/>
                <w:i w:val="0"/>
                <w:color w:val="auto"/>
                <w:kern w:val="0"/>
                <w:sz w:val="21"/>
                <w:szCs w:val="21"/>
                <w:u w:val="none"/>
                <w:lang w:val="en-US" w:eastAsia="zh-CN" w:bidi="ar"/>
              </w:rPr>
              <w:t>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330221047005</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对汽车供应商制定或实施的商务政策违反公平、公正、透明原则的行政处罚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207"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1</w:t>
            </w:r>
            <w:r>
              <w:rPr>
                <w:rFonts w:hint="eastAsia" w:asciiTheme="minorEastAsia" w:hAnsiTheme="minorEastAsia" w:cstheme="minorEastAsia"/>
                <w:i w:val="0"/>
                <w:color w:val="auto"/>
                <w:kern w:val="0"/>
                <w:sz w:val="21"/>
                <w:szCs w:val="21"/>
                <w:u w:val="none"/>
                <w:lang w:val="en-US" w:eastAsia="zh-CN" w:bidi="ar"/>
              </w:rPr>
              <w:t>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330221047006</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对汽车供应商限制配件生产商、进口商的销售对象，无依据限制经销商、售后服务商转售配件，或未及时公布停产、停售车型并保证配件供应及售后服务的行政处罚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330221047007</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对汽车供应商违反汽车区域销售合同的行政处罚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1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330221047008</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对汽车供应商向汽车经销商提出不合理、不平等要求或限制的行政处罚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43"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330221047009</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对汽车经销商、售后服务商未标明、提醒、说明销售或提供配件相关信息的行政处罚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2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16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对汽车经销商、供应商未在经营场所或企业网站明示或公布售后服务政策、“三包”信息、合作售后服务商名单的行政处罚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71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17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对汽车经销商、供应商未落实建立健全消费者投诉机制的行政处罚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71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18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330221037003</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对汽车经销商、供应商未通过全国汽车流通信息管理系统备案、不及时报送相关信息的行政处罚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2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19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330221037004</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对汽车经销商、供应商未按要求落实汽车销售信息档案管理制度的行政处罚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330221037005</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对汽车经销商销售汽车时未核实登记消费者身份证明、签订销售合同、如实开具销售发票的行政处罚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02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1</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报废机动车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对报废机动车回收企业未按规定处置新能源汽车动力蓄电池的行政处罚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对报废机动车回收企业未取得资质进行回收拆解活动的行政处罚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330221046004</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对报废机动车回收企业违规处置报废机动车五大总成、拆解零部件的行政处罚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708"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330221046005</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对报废机动车回收企业不按规定办理、转交注销登记的行政处罚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673"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330221046006</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对报废机动车回收企业不按规定如实登记填报五大总成等主要部件信息的行政处罚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159"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26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330221046008</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对报废机动车回收企业涂改、出租、出借或以其他形式非法转让《报废机动车回收拆解企业资质认定证书》的行政处罚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4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27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330221046009</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对报废机动车回收企业未按要求备案分支机构，或分支机构违规对报废机动车进行拆解的行政处罚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69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28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对报废机动车回收企业违规开具或发放《报废机动车回收证明》，或未</w:t>
            </w:r>
            <w:r>
              <w:rPr>
                <w:rStyle w:val="6"/>
                <w:color w:val="auto"/>
                <w:sz w:val="21"/>
                <w:szCs w:val="21"/>
                <w:lang w:val="en-US" w:eastAsia="zh-CN" w:bidi="ar"/>
              </w:rPr>
              <w:t>按规定</w:t>
            </w:r>
            <w:r>
              <w:rPr>
                <w:rStyle w:val="5"/>
                <w:color w:val="auto"/>
                <w:sz w:val="21"/>
                <w:szCs w:val="21"/>
                <w:lang w:val="en-US" w:eastAsia="zh-CN" w:bidi="ar"/>
              </w:rPr>
              <w:t>对已出具《报废机动车回收证明》的报废机动车进行拆解的行政处罚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09"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29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330221046011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对报废机动车回收企业违规拆解报废机动车，或交易报废机动车整车、拼装车的行政处罚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eastAsiaTheme="minorEastAsia" w:cstheme="minorEastAsia"/>
                <w:i w:val="0"/>
                <w:color w:val="auto"/>
                <w:kern w:val="0"/>
                <w:sz w:val="21"/>
                <w:szCs w:val="21"/>
                <w:u w:val="none"/>
                <w:lang w:val="en-US" w:eastAsia="zh-CN" w:bidi="ar"/>
              </w:rPr>
              <w:t>3</w:t>
            </w:r>
            <w:r>
              <w:rPr>
                <w:rFonts w:hint="eastAsia" w:asciiTheme="minorEastAsia" w:hAnsiTheme="minorEastAsia" w:cstheme="minorEastAsia"/>
                <w:i w:val="0"/>
                <w:color w:val="auto"/>
                <w:kern w:val="0"/>
                <w:sz w:val="21"/>
                <w:szCs w:val="21"/>
                <w:u w:val="none"/>
                <w:lang w:val="en-US" w:eastAsia="zh-CN" w:bidi="ar"/>
              </w:rPr>
              <w:t>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330221046012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对报废机动车回收企业未按规定建立和使用电子监控系统的行政处罚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0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31</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旧电器电子产品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对经营者未建立旧电器电子产品档案的行政处罚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对旧电器电子产品市场未建立旧电器电子产品档案的行政处罚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2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330221048003</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对经营者未对收购产品进行登记的行政处罚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2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330221050001</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对经营者未依法履行旧电器电子产品“三包”责任的行政处罚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5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330221050002</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对经营者违规销售旧电器电子产品的行政处罚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418"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36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330221050003</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对未按规定标识旧电器电子产品的行政处罚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37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330221050004</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对经营者未妥善处置旧电器电子产品存储信息的行政处罚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69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38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330221050005</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对经营者、市场未按规定报送统计信息、数据的行政处罚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39"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39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对经营者违规收购或销售旧电器电子产品的行政处罚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40</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散装汽油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330221043000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对散装汽油经营者未查验并登记购买者身份信息的行政处罚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0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41</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商品现货</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对商品现货市场经营者违规经营或违反市场机制的行政处罚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7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42</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一次性塑料制品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330221064000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对未按规定使用不可降解塑料袋等一次性塑料制品或未按规定报告塑料袋等一次性塑料制品使用情况的行政处罚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2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43</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零售商供应商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330221021000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对零售商、供应商交易中不公平行为的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8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44</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家庭服务</w:t>
            </w:r>
          </w:p>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机构</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330221032000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对家庭服务机构未公开服务项目、收费标准和投诉监督电话的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330221033000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对家庭服务机构未按要求建立工作档案、跟踪管理制度，对投诉不予妥善处理的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46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对家庭服务机构未按要求提供经营档案信息、经营情况信息的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47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330221063000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对家庭服务机构损害消费者或家庭服务员合法权益的行政处罚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83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48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330221034000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对家庭服务机构未按要求订立家庭服务合同，拒绝家庭服务员获取家庭服务合同的行政处罚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99"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49</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330221024002</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对餐饮经营者违反促销</w:t>
            </w:r>
            <w:r>
              <w:rPr>
                <w:rStyle w:val="6"/>
                <w:color w:val="auto"/>
                <w:sz w:val="21"/>
                <w:szCs w:val="21"/>
                <w:lang w:val="en-US" w:eastAsia="zh-CN" w:bidi="ar"/>
              </w:rPr>
              <w:t>管理</w:t>
            </w:r>
            <w:r>
              <w:rPr>
                <w:rStyle w:val="5"/>
                <w:color w:val="auto"/>
                <w:sz w:val="21"/>
                <w:szCs w:val="21"/>
                <w:lang w:val="en-US" w:eastAsia="zh-CN" w:bidi="ar"/>
              </w:rPr>
              <w:t>规定的行政处罚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428"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330221024003</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对餐饮经营者未按规定建立健全突发事件应急预案及应对机制的行政处罚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3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330221024004</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对餐饮经营者未按规定建立外送服务流程及顾客投诉制度的行政处罚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52</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家电维修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330221030001</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对家电维修经营者违反家电维修服务业信息公示要求的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8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330221030002</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对家电维修经营者违反家电维修服务业经营行为要求的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54</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美容美发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330221028000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对美容美发经营者未明确服务项目范围，未按照其服务项目范围提供服务，或提供服务后未出具消费凭证或服务单据的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52"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55</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贸易救济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330221006000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对有关行业组织、中介组织和企业泄露出口产品反倾销案件应对策略和应诉方案核心内容等重要信息的行政处罚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56</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对外劳务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330221068000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对对外劳务合作企业未按规定安排和管理劳务人员相关行为的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66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330221069000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对对外劳务合作企业未按规定执行备案手续、未制定突发事件应急预案相关行为的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330221070000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对对外劳务合作企业拒不将服务合同等合同副本报商务主管部门备案，合同未载明必备事项，或备案后拒不按照要求补正必备事项的行政处罚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297"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59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330221071000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6"/>
                <w:color w:val="auto"/>
                <w:sz w:val="21"/>
                <w:szCs w:val="21"/>
                <w:lang w:val="en-US" w:eastAsia="zh-CN" w:bidi="ar"/>
              </w:rPr>
              <w:t>对对外劳务合作企业</w:t>
            </w:r>
            <w:r>
              <w:rPr>
                <w:rStyle w:val="5"/>
                <w:color w:val="auto"/>
                <w:sz w:val="21"/>
                <w:szCs w:val="21"/>
                <w:lang w:val="en-US" w:eastAsia="zh-CN" w:bidi="ar"/>
              </w:rPr>
              <w:t>以商务、旅游、留学等名义或允许其他单位、个人以本企业名义组织劳务人员赴外工作，或组织劳务人员赴外从事与赌博、色情活动相关工作的行政处罚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0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330221072000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5"/>
                <w:color w:val="auto"/>
                <w:sz w:val="21"/>
                <w:szCs w:val="21"/>
                <w:lang w:val="en-US" w:eastAsia="zh-CN" w:bidi="ar"/>
              </w:rPr>
              <w:t>对对外劳务合作企业违规安排人员赴外工作，或在国外发生突发事件时不及时处理相关行为的</w:t>
            </w:r>
            <w:r>
              <w:rPr>
                <w:rStyle w:val="6"/>
                <w:color w:val="auto"/>
                <w:sz w:val="21"/>
                <w:szCs w:val="21"/>
                <w:lang w:val="en-US" w:eastAsia="zh-CN" w:bidi="ar"/>
              </w:rPr>
              <w:t>行政</w:t>
            </w:r>
            <w:r>
              <w:rPr>
                <w:rStyle w:val="5"/>
                <w:color w:val="auto"/>
                <w:sz w:val="21"/>
                <w:szCs w:val="21"/>
                <w:lang w:val="en-US" w:eastAsia="zh-CN" w:bidi="ar"/>
              </w:rPr>
              <w:t>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6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330221010000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对对外劳务合作企业未依照规定缴存或补足备用金的行政处罚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7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62</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外商投资</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330221018000</w:t>
            </w:r>
          </w:p>
        </w:tc>
        <w:tc>
          <w:tcPr>
            <w:tcW w:w="3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对外国投资者、外商投资企业未按照外商投资信息报告制度要求报送投资信息的行政处罚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商务主管部门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15" w:hRule="atLeast"/>
        </w:trPr>
        <w:tc>
          <w:tcPr>
            <w:tcW w:w="1326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left"/>
              <w:textAlignment w:val="center"/>
              <w:outlineLvl w:val="9"/>
              <w:rPr>
                <w:rFonts w:hint="eastAsia" w:asciiTheme="minorEastAsia" w:hAnsiTheme="minorEastAsia" w:eastAsiaTheme="minorEastAsia" w:cstheme="minorEastAsia"/>
                <w:i w:val="0"/>
                <w:color w:val="auto"/>
                <w:sz w:val="21"/>
                <w:szCs w:val="21"/>
                <w:u w:val="none"/>
              </w:rPr>
            </w:pPr>
            <w:r>
              <w:rPr>
                <w:rFonts w:hint="eastAsia" w:ascii="黑体" w:hAnsi="黑体" w:eastAsia="黑体" w:cs="黑体"/>
                <w:i w:val="0"/>
                <w:color w:val="auto"/>
                <w:kern w:val="0"/>
                <w:sz w:val="24"/>
                <w:szCs w:val="24"/>
                <w:u w:val="none"/>
                <w:lang w:val="en-US" w:eastAsia="zh-CN" w:bidi="ar"/>
              </w:rPr>
              <w:t>二、经信（共15项）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1"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63</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330207058000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对非食盐定点生产企业生产食盐的行政处罚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b/>
                <w:i w:val="0"/>
                <w:color w:val="auto"/>
                <w:sz w:val="32"/>
                <w:szCs w:val="32"/>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330207059000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对非食盐定点批发企业经营食盐批发业务的行政处罚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65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330207060000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对食盐定点生产企业、非食用盐生产企业未按规定保存生产销售记录的行政处罚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4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66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330207061000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对食盐定点批发企业未按规定保存采购销售记录的行政处罚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5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67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330207062000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对食盐定点批发企业超出国家规定的范围销售食盐的行政处罚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68</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330207063000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Style w:val="7"/>
                <w:color w:val="auto"/>
                <w:sz w:val="21"/>
                <w:szCs w:val="21"/>
                <w:lang w:val="en-US" w:eastAsia="zh-CN" w:bidi="ar"/>
              </w:rPr>
              <w:t>对</w:t>
            </w:r>
            <w:r>
              <w:rPr>
                <w:rStyle w:val="8"/>
                <w:color w:val="auto"/>
                <w:sz w:val="21"/>
                <w:szCs w:val="21"/>
                <w:lang w:val="en-US" w:eastAsia="zh-CN" w:bidi="ar"/>
              </w:rPr>
              <w:t>将</w:t>
            </w:r>
            <w:r>
              <w:rPr>
                <w:rStyle w:val="7"/>
                <w:color w:val="auto"/>
                <w:sz w:val="21"/>
                <w:szCs w:val="21"/>
                <w:lang w:val="en-US" w:eastAsia="zh-CN" w:bidi="ar"/>
              </w:rPr>
              <w:t>非食用盐产品作为食盐销售的行政处罚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69</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330207064000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对食盐定点批发企业从食盐定点生产企业、其他食盐定点批发企业以外的单位或者个人购进食盐的行政处罚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51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70</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330207065000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对食盐零售单位从食盐定点批发企业以外的单位或个人购进食盐的行政处罚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7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71</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330207066000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对未按照规定在食盐外包装上作出标识的行政处罚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6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72</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330207067000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对食盐定点生产企业、食盐定点批发企业违反规定聘用人员的行政处罚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187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73</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330207068000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对碘盐加工企业、批发企业加工、批发不合格碘盐的行政处罚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需要报请上级盐业主管部门批准的，由盐业主管部门负责上报。</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74</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330207069000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对在缺碘地区食用盐市场销售不合格碘盐或擅自销售非碘盐的行政处罚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rPr>
            </w:pPr>
            <w:r>
              <w:rPr>
                <w:rFonts w:hint="eastAsia" w:asciiTheme="minorEastAsia" w:hAnsiTheme="minorEastAsia" w:cstheme="minorEastAsia"/>
                <w:i w:val="0"/>
                <w:color w:val="auto"/>
                <w:kern w:val="0"/>
                <w:sz w:val="21"/>
                <w:szCs w:val="21"/>
                <w:u w:val="none"/>
                <w:lang w:val="en-US" w:eastAsia="zh-CN" w:bidi="ar"/>
              </w:rPr>
              <w:t>75</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330207072000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对擅自废弃、转产盐田的行政处罚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385"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76</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330207070000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对生产、加工用于零售的碘盐未按国家有关规定实行小包装并加贴防伪碘盐标识的行政处罚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28" w:type="dxa"/>
            <w:bottom w:w="57" w:type="dxa"/>
            <w:right w:w="28" w:type="dxa"/>
          </w:tblCellMar>
        </w:tblPrEx>
        <w:trPr>
          <w:trHeight w:val="253"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default"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cstheme="minorEastAsia"/>
                <w:i w:val="0"/>
                <w:color w:val="auto"/>
                <w:sz w:val="21"/>
                <w:szCs w:val="21"/>
                <w:u w:val="none"/>
                <w:lang w:val="en-US" w:eastAsia="zh-CN"/>
              </w:rPr>
              <w:t>77</w:t>
            </w: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330207071000</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对食盐批发企业造成责任性脱销的行政处罚</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全部</w:t>
            </w:r>
          </w:p>
        </w:tc>
        <w:tc>
          <w:tcPr>
            <w:tcW w:w="4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105" w:leftChars="50" w:right="105" w:rightChars="50" w:firstLine="0" w:firstLineChars="0"/>
              <w:jc w:val="both"/>
              <w:textAlignment w:val="center"/>
              <w:outlineLvl w:val="9"/>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盐业主管部门负责日常监管、受理投诉、举报；对发现、移送的违法线索进行处理，责令改正；需要立案查处的，将相关证据材料移送市场监管部门。市场监管部门按程序办理并将处理结果反馈盐业主管部门。</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盐业主管部门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市场监管部门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105" w:leftChars="50" w:right="105" w:rightChars="50" w:firstLine="0" w:firstLineChars="0"/>
              <w:jc w:val="both"/>
              <w:outlineLvl w:val="9"/>
              <w:rPr>
                <w:rFonts w:hint="eastAsia" w:ascii="宋体" w:hAnsi="宋体" w:eastAsia="宋体" w:cs="宋体"/>
                <w:i w:val="0"/>
                <w:color w:val="auto"/>
                <w:sz w:val="22"/>
                <w:szCs w:val="22"/>
                <w:u w:val="none"/>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right="105" w:rightChars="50"/>
        <w:jc w:val="both"/>
        <w:textAlignment w:val="center"/>
        <w:outlineLvl w:val="9"/>
        <w:rPr>
          <w:rFonts w:hint="eastAsia" w:ascii="方正小标宋简体" w:hAnsi="方正小标宋简体" w:eastAsia="方正小标宋简体" w:cs="方正小标宋简体"/>
          <w:i w:val="0"/>
          <w:color w:val="auto"/>
          <w:kern w:val="0"/>
          <w:sz w:val="21"/>
          <w:szCs w:val="21"/>
          <w:u w:val="none"/>
          <w:lang w:val="en-US" w:eastAsia="zh-CN" w:bidi="ar"/>
        </w:rPr>
      </w:pPr>
    </w:p>
    <w:p/>
    <w:p>
      <w:pPr>
        <w:rPr>
          <w:rFonts w:ascii="仿宋_GB2312" w:hAnsi="仿宋_GB2312" w:eastAsia="仿宋_GB2312" w:cs="仿宋_GB2312"/>
          <w:sz w:val="32"/>
          <w:szCs w:val="32"/>
        </w:rPr>
        <w:sectPr>
          <w:pgSz w:w="15840" w:h="12240" w:orient="landscape"/>
          <w:pgMar w:top="1701" w:right="1417" w:bottom="1701" w:left="1417" w:header="720" w:footer="720"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D7470"/>
    <w:rsid w:val="7B1D7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eastAsia" w:ascii="宋体" w:hAnsi="宋体" w:eastAsia="宋体" w:cs="宋体"/>
      <w:color w:val="000000"/>
      <w:sz w:val="21"/>
      <w:szCs w:val="21"/>
      <w:u w:val="none"/>
    </w:rPr>
  </w:style>
  <w:style w:type="character" w:customStyle="1" w:styleId="6">
    <w:name w:val="font121"/>
    <w:basedOn w:val="4"/>
    <w:qFormat/>
    <w:uiPriority w:val="0"/>
    <w:rPr>
      <w:rFonts w:hint="eastAsia" w:ascii="宋体" w:hAnsi="宋体" w:eastAsia="宋体" w:cs="宋体"/>
      <w:color w:val="FF0000"/>
      <w:sz w:val="21"/>
      <w:szCs w:val="21"/>
      <w:u w:val="none"/>
    </w:rPr>
  </w:style>
  <w:style w:type="character" w:customStyle="1" w:styleId="7">
    <w:name w:val="font51"/>
    <w:basedOn w:val="4"/>
    <w:qFormat/>
    <w:uiPriority w:val="0"/>
    <w:rPr>
      <w:rFonts w:hint="eastAsia" w:ascii="宋体" w:hAnsi="宋体" w:eastAsia="宋体" w:cs="宋体"/>
      <w:color w:val="000000"/>
      <w:sz w:val="22"/>
      <w:szCs w:val="22"/>
      <w:u w:val="none"/>
    </w:rPr>
  </w:style>
  <w:style w:type="character" w:customStyle="1" w:styleId="8">
    <w:name w:val="font131"/>
    <w:basedOn w:val="4"/>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2021-04-17T08:34:00Z</dcterms:created>
  <dc:creator>LICHENG</dc:creator>
  <cp:lastModifiedBy>LICHENG</cp:lastModifiedBy>
  <dcterms:modified xsi:type="dcterms:W3CDTF">2021-04-17T08:35:56Z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