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bookmarkStart w:id="0" w:name="_GoBack"/>
      <w:bookmarkEnd w:id="0"/>
    </w:p>
    <w:p>
      <w:pPr>
        <w:rPr>
          <w:vanish/>
          <w:sz w:val="24"/>
          <w:szCs w:val="24"/>
        </w:rPr>
      </w:pPr>
    </w:p>
    <w:p>
      <w:pPr>
        <w:keepNext w:val="0"/>
        <w:keepLines w:val="0"/>
        <w:widowControl/>
        <w:suppressLineNumbers w:val="0"/>
        <w:shd w:val="clear" w:fill="FFFFFF" w:themeFill="background1"/>
        <w:spacing w:line="560" w:lineRule="atLeast"/>
        <w:ind w:left="0" w:firstLine="0"/>
        <w:jc w:val="center"/>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慈溪</w:t>
      </w:r>
      <w:r>
        <w:rPr>
          <w:rFonts w:hint="eastAsia" w:ascii="仿宋" w:hAnsi="仿宋" w:eastAsia="仿宋" w:cs="仿宋"/>
          <w:b w:val="0"/>
          <w:bCs w:val="0"/>
          <w:i w:val="0"/>
          <w:caps w:val="0"/>
          <w:color w:val="000000"/>
          <w:spacing w:val="0"/>
          <w:kern w:val="0"/>
          <w:sz w:val="28"/>
          <w:szCs w:val="28"/>
          <w:shd w:val="clear" w:fill="FFFFFF" w:themeFill="background1"/>
          <w:lang w:val="en-US" w:eastAsia="zh-CN" w:bidi="ar"/>
        </w:rPr>
        <w:t>市低附加值可回</w:t>
      </w:r>
      <w:r>
        <w:rPr>
          <w:rFonts w:hint="eastAsia" w:ascii="仿宋" w:hAnsi="仿宋" w:eastAsia="仿宋" w:cs="仿宋"/>
          <w:i w:val="0"/>
          <w:caps w:val="0"/>
          <w:color w:val="000000"/>
          <w:spacing w:val="0"/>
          <w:kern w:val="0"/>
          <w:sz w:val="28"/>
          <w:szCs w:val="28"/>
          <w:shd w:val="clear" w:fill="FFFFFF"/>
          <w:lang w:val="en-US" w:eastAsia="zh-CN" w:bidi="ar"/>
        </w:rPr>
        <w:t>收物补贴实施细则　　　　　　　　</w:t>
      </w:r>
    </w:p>
    <w:p>
      <w:pPr>
        <w:keepNext w:val="0"/>
        <w:keepLines w:val="0"/>
        <w:widowControl/>
        <w:suppressLineNumbers w:val="0"/>
        <w:shd w:val="clear" w:fill="FFFFFF" w:themeFill="background1"/>
        <w:spacing w:line="560" w:lineRule="atLeast"/>
        <w:ind w:left="0" w:firstLine="0"/>
        <w:jc w:val="center"/>
        <w:rPr>
          <w:rFonts w:hint="eastAsia" w:ascii="仿宋" w:hAnsi="仿宋" w:eastAsia="仿宋" w:cs="仿宋"/>
          <w:i w:val="0"/>
          <w:caps w:val="0"/>
          <w:color w:val="000000"/>
          <w:spacing w:val="0"/>
          <w:kern w:val="0"/>
          <w:sz w:val="28"/>
          <w:szCs w:val="28"/>
          <w:shd w:val="clear" w:fill="FFFFFF"/>
          <w:lang w:val="en-US" w:eastAsia="zh-CN" w:bidi="ar"/>
        </w:rPr>
      </w:pPr>
    </w:p>
    <w:p>
      <w:pPr>
        <w:keepNext w:val="0"/>
        <w:keepLines w:val="0"/>
        <w:widowControl/>
        <w:suppressLineNumbers w:val="0"/>
        <w:shd w:val="clear" w:fill="FFFFFF" w:themeFill="background1"/>
        <w:spacing w:line="560" w:lineRule="atLeast"/>
        <w:ind w:left="0" w:firstLine="0"/>
        <w:jc w:val="center"/>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第一条  目的和依据</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为建立健全本市生活垃圾可回收物体系，推进“垃圾分类+再生资源回收”收运体系的两网融合，鼓励企业参与低附加值可回收物回收处理工作，根据《关于加快培育生活垃圾再生资源回收利用市场主体的意见》（浙分类办〔2019〕42号)、《宁波市生活垃圾分类管理条例》、《慈溪市2021年—2023年生活垃圾分类补助资金管理办法》（慈分领办〔2021〕23号）等有关规定，结合本市实际，制定本实</w:t>
      </w:r>
    </w:p>
    <w:p>
      <w:pPr>
        <w:keepNext w:val="0"/>
        <w:keepLines w:val="0"/>
        <w:widowControl/>
        <w:suppressLineNumbers w:val="0"/>
        <w:shd w:val="clear" w:fill="FFFFFF" w:themeFill="background1"/>
        <w:spacing w:line="560" w:lineRule="atLeast"/>
        <w:ind w:left="0" w:firstLine="0"/>
        <w:jc w:val="both"/>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施细则。</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shd w:val="clear" w:fill="FFFFFF" w:themeFill="background1"/>
        <w:spacing w:line="560" w:lineRule="atLeast"/>
        <w:ind w:left="0" w:firstLine="0"/>
        <w:jc w:val="center"/>
        <w:rPr>
          <w:rFonts w:hint="eastAsia" w:ascii="仿宋" w:hAnsi="仿宋" w:eastAsia="仿宋" w:cs="仿宋"/>
          <w:b w:val="0"/>
          <w:bCs/>
          <w:i w:val="0"/>
          <w:caps w:val="0"/>
          <w:color w:val="000000"/>
          <w:spacing w:val="0"/>
          <w:kern w:val="0"/>
          <w:sz w:val="28"/>
          <w:szCs w:val="28"/>
          <w:shd w:val="clear" w:fill="FFFFFF" w:themeFill="background1"/>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第二条  适用范围</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本细则所称</w:t>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低附加值可回收物，是指具有一定循环利用价值，在垃圾投放过程中容易混入其他类别生活垃圾，单纯依靠市场调节难以有效回收处理，需要经过规模化回收和集中处理才能够重新获得循环</w:t>
      </w:r>
    </w:p>
    <w:p>
      <w:pPr>
        <w:keepNext w:val="0"/>
        <w:keepLines w:val="0"/>
        <w:widowControl/>
        <w:suppressLineNumbers w:val="0"/>
        <w:shd w:val="clear" w:fill="FFFFFF" w:themeFill="background1"/>
        <w:spacing w:line="560" w:lineRule="atLeast"/>
        <w:ind w:left="0" w:firstLine="0"/>
        <w:jc w:val="both"/>
        <w:rPr>
          <w:rFonts w:hint="eastAsia" w:ascii="仿宋" w:hAnsi="仿宋" w:eastAsia="仿宋" w:cs="仿宋"/>
          <w:b w:val="0"/>
          <w:bCs/>
          <w:i w:val="0"/>
          <w:caps w:val="0"/>
          <w:color w:val="000000"/>
          <w:spacing w:val="0"/>
          <w:kern w:val="0"/>
          <w:sz w:val="28"/>
          <w:szCs w:val="28"/>
          <w:shd w:val="clear" w:fill="FFFFFF" w:themeFill="background1"/>
          <w:lang w:val="en-US" w:eastAsia="zh-CN" w:bidi="ar"/>
        </w:rPr>
      </w:pP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使用价值的废玻璃、废织物两类低附加值固体废物。</w:t>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br w:type="textWrapping"/>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　　本细则的补贴对象，是市商务局通过比选、招标等多种方式，确定的承担本市内生活垃圾低附加值可回收物回收的企业。</w:t>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br w:type="textWrapping"/>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　　　　　　　　　　　　　</w:t>
      </w:r>
    </w:p>
    <w:p>
      <w:pPr>
        <w:keepNext w:val="0"/>
        <w:keepLines w:val="0"/>
        <w:widowControl/>
        <w:suppressLineNumbers w:val="0"/>
        <w:shd w:val="clear" w:fill="FFFFFF" w:themeFill="background1"/>
        <w:spacing w:line="560" w:lineRule="atLeast"/>
        <w:ind w:left="0" w:firstLine="0"/>
        <w:jc w:val="center"/>
        <w:rPr>
          <w:rFonts w:hint="eastAsia" w:ascii="仿宋" w:hAnsi="仿宋" w:eastAsia="仿宋" w:cs="仿宋"/>
          <w:i w:val="0"/>
          <w:caps w:val="0"/>
          <w:color w:val="0000FF"/>
          <w:spacing w:val="0"/>
          <w:kern w:val="0"/>
          <w:sz w:val="28"/>
          <w:szCs w:val="28"/>
          <w:shd w:val="clear" w:fill="FFFFFF"/>
          <w:lang w:val="en-US" w:eastAsia="zh-CN" w:bidi="ar"/>
        </w:rPr>
      </w:pP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第三条  补贴办法</w:t>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br w:type="textWrapping"/>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　 对重点再生资源回收企业回收废玻璃、废织物低附加值可回收物进行补贴，补贴标准按照慈溪市垃圾焚烧处置费95元/吨的80%即76元/吨执行，每种低附加值可回收物最高补贴每年不超过30万元。</w:t>
      </w:r>
      <w:r>
        <w:rPr>
          <w:rFonts w:hint="eastAsia" w:ascii="仿宋" w:hAnsi="仿宋" w:eastAsia="仿宋" w:cs="仿宋"/>
          <w:i w:val="0"/>
          <w:caps w:val="0"/>
          <w:color w:val="0000FF"/>
          <w:spacing w:val="0"/>
          <w:kern w:val="0"/>
          <w:sz w:val="28"/>
          <w:szCs w:val="28"/>
          <w:shd w:val="clear" w:fill="FFFFFF"/>
          <w:lang w:val="en-US" w:eastAsia="zh-CN" w:bidi="ar"/>
        </w:rPr>
        <w:br w:type="textWrapping"/>
      </w:r>
    </w:p>
    <w:p>
      <w:pPr>
        <w:keepNext w:val="0"/>
        <w:keepLines w:val="0"/>
        <w:widowControl/>
        <w:suppressLineNumbers w:val="0"/>
        <w:shd w:val="clear" w:fill="FFFFFF" w:themeFill="background1"/>
        <w:spacing w:line="560" w:lineRule="atLeast"/>
        <w:ind w:left="0" w:firstLine="0"/>
        <w:jc w:val="center"/>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第四条  资金来源</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补贴经费从市生活垃圾焚烧处理费中开支，按照生活垃圾处置费的承担比例，市财政40%即30.4元/吨、镇（街道）60%即45.6元/</w:t>
      </w:r>
    </w:p>
    <w:p>
      <w:pPr>
        <w:keepNext w:val="0"/>
        <w:keepLines w:val="0"/>
        <w:widowControl/>
        <w:suppressLineNumbers w:val="0"/>
        <w:shd w:val="clear" w:fill="FFFFFF" w:themeFill="background1"/>
        <w:spacing w:line="560" w:lineRule="atLeast"/>
        <w:ind w:left="0" w:firstLine="0"/>
        <w:jc w:val="both"/>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吨承担。</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第五条  部门职责</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各镇（街道）负责</w:t>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低附加值可回收物的收集、运输、数据采集和台账上报工作。市综合行政执法局负责对各镇（街道）环卫所（站）的低附加值可回收物的数据统计工作，市商务局负责对各镇（街道）再生资源中转站的低附加值可回收物的数据统计工作。市垃圾分类工作领导小组负责对各镇（街道）低附加值</w:t>
      </w:r>
      <w:r>
        <w:rPr>
          <w:rFonts w:hint="eastAsia" w:ascii="仿宋" w:hAnsi="仿宋" w:eastAsia="仿宋" w:cs="仿宋"/>
          <w:i w:val="0"/>
          <w:caps w:val="0"/>
          <w:color w:val="000000"/>
          <w:spacing w:val="0"/>
          <w:kern w:val="0"/>
          <w:sz w:val="28"/>
          <w:szCs w:val="28"/>
          <w:shd w:val="clear" w:fill="FFFFFF"/>
          <w:lang w:val="en-US" w:eastAsia="zh-CN" w:bidi="ar"/>
        </w:rPr>
        <w:t>可回收物的考核，数据的汇总及对质量进行抽查。市商务局组织开展企业补贴资金的组织申报、材料受理、审核等工作。</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企业应建立完善的电子计量系统，数据可追踪，实现回收量和相关数据信息及时查询、调取等功能。同时，每月10日，企业与</w:t>
      </w:r>
      <w:r>
        <w:rPr>
          <w:rFonts w:hint="eastAsia" w:ascii="仿宋" w:hAnsi="仿宋" w:eastAsia="仿宋" w:cs="仿宋"/>
          <w:b w:val="0"/>
          <w:bCs/>
          <w:i w:val="0"/>
          <w:caps w:val="0"/>
          <w:color w:val="000000"/>
          <w:spacing w:val="0"/>
          <w:kern w:val="0"/>
          <w:sz w:val="28"/>
          <w:szCs w:val="28"/>
          <w:shd w:val="clear" w:fill="FFFFFF" w:themeFill="background1"/>
          <w:lang w:val="en-US" w:eastAsia="zh-CN" w:bidi="ar"/>
        </w:rPr>
        <w:t>低附加值可回收物末端处理企业完成对上月联单统计数据核对，并将核对</w:t>
      </w:r>
      <w:r>
        <w:rPr>
          <w:rFonts w:hint="eastAsia" w:ascii="仿宋" w:hAnsi="仿宋" w:eastAsia="仿宋" w:cs="仿宋"/>
          <w:i w:val="0"/>
          <w:caps w:val="0"/>
          <w:color w:val="000000"/>
          <w:spacing w:val="0"/>
          <w:kern w:val="0"/>
          <w:sz w:val="28"/>
          <w:szCs w:val="28"/>
          <w:shd w:val="clear" w:fill="FFFFFF"/>
          <w:lang w:val="en-US" w:eastAsia="zh-CN" w:bidi="ar"/>
        </w:rPr>
        <w:t>后的数据报送市商务局。</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p>
    <w:p>
      <w:pPr>
        <w:keepNext w:val="0"/>
        <w:keepLines w:val="0"/>
        <w:widowControl/>
        <w:suppressLineNumbers w:val="0"/>
        <w:shd w:val="clear" w:fill="FFFFFF" w:themeFill="background1"/>
        <w:spacing w:line="560" w:lineRule="atLeast"/>
        <w:ind w:left="0" w:firstLine="0"/>
        <w:jc w:val="center"/>
        <w:rPr>
          <w:rFonts w:hint="eastAsia" w:ascii="仿宋" w:hAnsi="仿宋" w:eastAsia="仿宋" w:cs="仿宋"/>
          <w:i w:val="0"/>
          <w:caps w:val="0"/>
          <w:color w:val="000000"/>
          <w:spacing w:val="0"/>
          <w:kern w:val="0"/>
          <w:sz w:val="28"/>
          <w:szCs w:val="28"/>
          <w:shd w:val="clear" w:fill="FFFFFF"/>
          <w:lang w:val="en-US" w:eastAsia="zh-CN" w:bidi="ar"/>
        </w:rPr>
      </w:pPr>
      <w:r>
        <w:rPr>
          <w:rFonts w:hint="eastAsia" w:ascii="仿宋" w:hAnsi="仿宋" w:eastAsia="仿宋" w:cs="仿宋"/>
          <w:i w:val="0"/>
          <w:caps w:val="0"/>
          <w:color w:val="000000"/>
          <w:spacing w:val="0"/>
          <w:kern w:val="0"/>
          <w:sz w:val="28"/>
          <w:szCs w:val="28"/>
          <w:shd w:val="clear" w:fill="FFFFFF"/>
          <w:lang w:val="en-US" w:eastAsia="zh-CN" w:bidi="ar"/>
        </w:rPr>
        <w:t>第六条  资金申请审核</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年底企业将每月回收量信息制表汇总后（回收称重单据和系统数据明细作为申请附件）向市商务局提交申请报告，经市综合行政执法局和市商务局对申请材料中的数据进行审核和核准后，按规定，将补</w:t>
      </w:r>
    </w:p>
    <w:p>
      <w:pPr>
        <w:keepNext w:val="0"/>
        <w:keepLines w:val="0"/>
        <w:widowControl/>
        <w:suppressLineNumbers w:val="0"/>
        <w:shd w:val="clear" w:fill="FFFFFF" w:themeFill="background1"/>
        <w:spacing w:line="560" w:lineRule="atLeast"/>
        <w:ind w:left="0" w:firstLine="0"/>
        <w:jc w:val="both"/>
        <w:rPr>
          <w:rFonts w:hint="eastAsia" w:ascii="仿宋" w:hAnsi="仿宋" w:eastAsia="仿宋" w:cs="仿宋"/>
          <w:i w:val="0"/>
          <w:caps w:val="0"/>
          <w:color w:val="0000FF"/>
          <w:spacing w:val="0"/>
          <w:sz w:val="28"/>
          <w:szCs w:val="28"/>
        </w:rPr>
      </w:pPr>
      <w:r>
        <w:rPr>
          <w:rFonts w:hint="eastAsia" w:ascii="仿宋" w:hAnsi="仿宋" w:eastAsia="仿宋" w:cs="仿宋"/>
          <w:i w:val="0"/>
          <w:caps w:val="0"/>
          <w:color w:val="000000"/>
          <w:spacing w:val="0"/>
          <w:kern w:val="0"/>
          <w:sz w:val="28"/>
          <w:szCs w:val="28"/>
          <w:shd w:val="clear" w:fill="FFFFFF"/>
          <w:lang w:val="en-US" w:eastAsia="zh-CN" w:bidi="ar"/>
        </w:rPr>
        <w:t>贴资金拨付至企业。</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第七条  管理制度</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市商务局通过现场核查、随机抽查等方式，对企业的台账、计量系统、监管设备进行不定期抽查。同时，可聘请有专业能力的第三方机构对企业上报的统计数据、台账等进行定期评估和审计。</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企业要严格依法组织生产经营活动。市商务局会同相关部门、行业协会等单位，对企业进行联合监督检查。</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第八条  附则</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本细则有效期至2021年1月1日至2023年12月31日。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 </w:t>
      </w:r>
      <w:r>
        <w:rPr>
          <w:rFonts w:hint="eastAsia" w:ascii="仿宋" w:hAnsi="仿宋" w:eastAsia="仿宋" w:cs="仿宋"/>
          <w:i w:val="0"/>
          <w:caps w:val="0"/>
          <w:color w:val="000000"/>
          <w:spacing w:val="0"/>
          <w:kern w:val="0"/>
          <w:sz w:val="28"/>
          <w:szCs w:val="28"/>
          <w:shd w:val="clear" w:fill="FFFFFF"/>
          <w:lang w:val="en-US" w:eastAsia="zh-CN" w:bidi="ar"/>
        </w:rPr>
        <w:br w:type="textWrapping"/>
      </w:r>
      <w:r>
        <w:rPr>
          <w:rFonts w:hint="eastAsia" w:ascii="仿宋" w:hAnsi="仿宋" w:eastAsia="仿宋" w:cs="仿宋"/>
          <w:i w:val="0"/>
          <w:caps w:val="0"/>
          <w:color w:val="000000"/>
          <w:spacing w:val="0"/>
          <w:kern w:val="0"/>
          <w:sz w:val="28"/>
          <w:szCs w:val="28"/>
          <w:shd w:val="clear" w:fill="FFFFFF"/>
          <w:lang w:val="en-US" w:eastAsia="zh-CN" w:bidi="ar"/>
        </w:rPr>
        <w:t>慈溪市商务局办公室　　　　　　　　　</w:t>
      </w:r>
      <w:r>
        <w:rPr>
          <w:rFonts w:hint="eastAsia" w:ascii="仿宋" w:hAnsi="仿宋" w:eastAsia="仿宋" w:cs="仿宋"/>
          <w:i w:val="0"/>
          <w:caps w:val="0"/>
          <w:color w:val="0000FF"/>
          <w:spacing w:val="0"/>
          <w:kern w:val="0"/>
          <w:sz w:val="28"/>
          <w:szCs w:val="28"/>
          <w:shd w:val="clear" w:fill="FFFFFF"/>
          <w:lang w:val="en-US" w:eastAsia="zh-CN" w:bidi="ar"/>
        </w:rPr>
        <w:t>　202X年X月X日印发</w:t>
      </w:r>
    </w:p>
    <w:p>
      <w:pPr>
        <w:shd w:val="clear" w:fill="FFFFFF" w:themeFill="background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70561"/>
    <w:rsid w:val="0521251A"/>
    <w:rsid w:val="070F7250"/>
    <w:rsid w:val="08AB3C8D"/>
    <w:rsid w:val="0D165680"/>
    <w:rsid w:val="16E11C81"/>
    <w:rsid w:val="1C4B5050"/>
    <w:rsid w:val="1FAB4878"/>
    <w:rsid w:val="20770561"/>
    <w:rsid w:val="208274DA"/>
    <w:rsid w:val="23645C05"/>
    <w:rsid w:val="29BF05D3"/>
    <w:rsid w:val="32DE1A5C"/>
    <w:rsid w:val="3569164E"/>
    <w:rsid w:val="44024183"/>
    <w:rsid w:val="4B9A11FC"/>
    <w:rsid w:val="517C3E71"/>
    <w:rsid w:val="550941AD"/>
    <w:rsid w:val="5C5D205E"/>
    <w:rsid w:val="669C2814"/>
    <w:rsid w:val="75D762B6"/>
    <w:rsid w:val="79147B54"/>
    <w:rsid w:val="7F7B0EC5"/>
    <w:rsid w:val="F9D522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2020-11-13T10:55:00Z</dcterms:created>
  <dc:creator>user</dc:creator>
  <cp:lastModifiedBy>user</cp:lastModifiedBy>
  <cp:lastPrinted>2021-09-09T09:24:00Z</cp:lastPrinted>
  <dcterms:modified xsi:type="dcterms:W3CDTF">2021-10-08T15:11:47Z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