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rPr>
        <w:t>慈溪市龙山镇人民政府信息主动公开目录清单</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sz w:val="20"/>
                <w:szCs w:val="20"/>
              </w:rPr>
            </w:pPr>
            <w:r>
              <w:rPr>
                <w:rFonts w:hint="eastAsia"/>
                <w:sz w:val="20"/>
                <w:szCs w:val="20"/>
              </w:rPr>
              <w:t>党政办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bookmarkStart w:id="0" w:name="_GoBack"/>
            <w:bookmarkEnd w:id="0"/>
            <w:r>
              <w:rPr>
                <w:rFonts w:hint="eastAsia"/>
                <w:sz w:val="20"/>
                <w:szCs w:val="20"/>
              </w:rPr>
              <w:sym w:font="Wingdings 2" w:char="0052"/>
            </w: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jc w:val="center"/>
              <w:rPr>
                <w:sz w:val="20"/>
                <w:szCs w:val="20"/>
              </w:rPr>
            </w:pPr>
            <w:r>
              <w:rPr>
                <w:rFonts w:hint="eastAsia"/>
                <w:sz w:val="20"/>
                <w:szCs w:val="20"/>
              </w:rPr>
              <w:t>内设机构或下属单位情况</w:t>
            </w:r>
          </w:p>
        </w:tc>
        <w:tc>
          <w:tcPr>
            <w:tcW w:w="2990" w:type="dxa"/>
            <w:vAlign w:val="center"/>
          </w:tcPr>
          <w:p>
            <w:pPr>
              <w:rPr>
                <w:color w:val="000000"/>
                <w:sz w:val="20"/>
                <w:szCs w:val="20"/>
              </w:rPr>
            </w:pPr>
            <w:r>
              <w:rPr>
                <w:rFonts w:hint="eastAsia"/>
                <w:color w:val="000000"/>
                <w:sz w:val="20"/>
                <w:szCs w:val="20"/>
              </w:rPr>
              <w:t>内设机构名称、职责、办公电话及下属单位名称、地址、负责人姓名、办公电话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法规公文</w:t>
            </w: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机关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Merge w:val="restart"/>
            <w:vAlign w:val="center"/>
          </w:tcPr>
          <w:p>
            <w:pPr>
              <w:spacing w:line="240" w:lineRule="auto"/>
              <w:jc w:val="center"/>
              <w:rPr>
                <w:sz w:val="20"/>
                <w:szCs w:val="20"/>
              </w:rPr>
            </w:pPr>
            <w:r>
              <w:rPr>
                <w:rFonts w:hint="eastAsia"/>
                <w:sz w:val="20"/>
                <w:szCs w:val="20"/>
              </w:rPr>
              <w:t>党政办</w:t>
            </w:r>
          </w:p>
          <w:p>
            <w:pPr>
              <w:jc w:val="center"/>
              <w:rPr>
                <w:sz w:val="20"/>
                <w:szCs w:val="20"/>
              </w:rPr>
            </w:pPr>
            <w:r>
              <w:rPr>
                <w:rFonts w:hint="eastAsia"/>
                <w:sz w:val="20"/>
                <w:szCs w:val="20"/>
              </w:rPr>
              <w:t>党政办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p>
            <w:pPr>
              <w:rPr>
                <w:sz w:val="20"/>
                <w:szCs w:val="20"/>
              </w:rPr>
            </w:pP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本机关制定的其他政策文件</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jc w:val="center"/>
            </w:pPr>
            <w:r>
              <w:rPr>
                <w:rFonts w:hint="eastAsia"/>
                <w:sz w:val="20"/>
                <w:szCs w:val="20"/>
              </w:rPr>
              <w:t>政策解读</w:t>
            </w:r>
          </w:p>
        </w:tc>
        <w:tc>
          <w:tcPr>
            <w:tcW w:w="2990" w:type="dxa"/>
            <w:vAlign w:val="center"/>
          </w:tcPr>
          <w:p>
            <w:pPr>
              <w:jc w:val="left"/>
            </w:pPr>
            <w:r>
              <w:rPr>
                <w:rFonts w:hint="eastAsia"/>
                <w:color w:val="000000"/>
                <w:sz w:val="20"/>
                <w:szCs w:val="20"/>
              </w:rPr>
              <w:t>本机关相关政策性文件内容解读</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color w:val="000000"/>
                <w:sz w:val="20"/>
                <w:szCs w:val="20"/>
              </w:rPr>
            </w:pPr>
            <w:r>
              <w:rPr>
                <w:rFonts w:hint="eastAsia"/>
                <w:color w:val="000000"/>
                <w:sz w:val="20"/>
                <w:szCs w:val="20"/>
              </w:rPr>
              <w:t>政务动态</w:t>
            </w:r>
          </w:p>
        </w:tc>
        <w:tc>
          <w:tcPr>
            <w:tcW w:w="2990" w:type="dxa"/>
            <w:vAlign w:val="center"/>
          </w:tcPr>
          <w:p>
            <w:pPr>
              <w:spacing w:line="240" w:lineRule="auto"/>
              <w:rPr>
                <w:color w:val="000000"/>
                <w:sz w:val="20"/>
                <w:szCs w:val="20"/>
              </w:rPr>
            </w:pPr>
            <w:r>
              <w:rPr>
                <w:rFonts w:hint="eastAsia"/>
                <w:color w:val="000000"/>
                <w:sz w:val="20"/>
                <w:szCs w:val="20"/>
              </w:rPr>
              <w:t>镇政务活动情况</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Merge w:val="restart"/>
            <w:vAlign w:val="center"/>
          </w:tcPr>
          <w:p>
            <w:pPr>
              <w:spacing w:line="240" w:lineRule="auto"/>
              <w:jc w:val="center"/>
              <w:rPr>
                <w:sz w:val="20"/>
                <w:szCs w:val="20"/>
              </w:rPr>
            </w:pPr>
            <w:r>
              <w:rPr>
                <w:rFonts w:hint="eastAsia"/>
                <w:sz w:val="20"/>
                <w:szCs w:val="20"/>
              </w:rPr>
              <w:t>党政办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color w:val="000000"/>
                <w:sz w:val="20"/>
                <w:szCs w:val="20"/>
              </w:rPr>
            </w:pPr>
            <w:r>
              <w:rPr>
                <w:rFonts w:hint="eastAsia"/>
                <w:color w:val="000000"/>
                <w:sz w:val="20"/>
                <w:szCs w:val="20"/>
              </w:rPr>
              <w:t>农村工作</w:t>
            </w:r>
          </w:p>
        </w:tc>
        <w:tc>
          <w:tcPr>
            <w:tcW w:w="2990" w:type="dxa"/>
            <w:vAlign w:val="center"/>
          </w:tcPr>
          <w:p>
            <w:pPr>
              <w:spacing w:line="240" w:lineRule="auto"/>
              <w:rPr>
                <w:color w:val="000000"/>
                <w:sz w:val="20"/>
                <w:szCs w:val="20"/>
              </w:rPr>
            </w:pPr>
            <w:r>
              <w:rPr>
                <w:rFonts w:hint="eastAsia"/>
                <w:color w:val="000000"/>
                <w:sz w:val="20"/>
                <w:szCs w:val="20"/>
              </w:rPr>
              <w:t>农村工作、活动开展情况</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sz w:val="20"/>
                <w:szCs w:val="20"/>
              </w:rPr>
            </w:pPr>
          </w:p>
        </w:tc>
        <w:tc>
          <w:tcPr>
            <w:tcW w:w="1275" w:type="dxa"/>
            <w:vMerge w:val="continue"/>
            <w:vAlign w:val="center"/>
          </w:tcPr>
          <w:p>
            <w:pPr>
              <w:spacing w:line="240" w:lineRule="auto"/>
              <w:jc w:val="center"/>
              <w:rPr>
                <w:color w:val="000000"/>
                <w:sz w:val="20"/>
                <w:szCs w:val="20"/>
              </w:rPr>
            </w:pPr>
          </w:p>
        </w:tc>
        <w:tc>
          <w:tcPr>
            <w:tcW w:w="3118" w:type="dxa"/>
            <w:vMerge w:val="continue"/>
            <w:vAlign w:val="center"/>
          </w:tcPr>
          <w:p>
            <w:pPr>
              <w:spacing w:line="240" w:lineRule="auto"/>
              <w:rPr>
                <w:sz w:val="20"/>
                <w:szCs w:val="20"/>
              </w:rPr>
            </w:pPr>
          </w:p>
        </w:tc>
        <w:tc>
          <w:tcPr>
            <w:tcW w:w="1293" w:type="dxa"/>
            <w:vMerge w:val="continue"/>
            <w:vAlign w:val="center"/>
          </w:tcPr>
          <w:p>
            <w:pPr>
              <w:spacing w:line="240" w:lineRule="auto"/>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color w:val="000000"/>
                <w:sz w:val="20"/>
                <w:szCs w:val="20"/>
              </w:rPr>
            </w:pPr>
            <w:r>
              <w:rPr>
                <w:rFonts w:hint="eastAsia"/>
                <w:color w:val="000000"/>
                <w:sz w:val="20"/>
                <w:szCs w:val="20"/>
              </w:rPr>
              <w:t>扶贫脱贫和社会救助</w:t>
            </w:r>
          </w:p>
        </w:tc>
        <w:tc>
          <w:tcPr>
            <w:tcW w:w="2990" w:type="dxa"/>
            <w:vAlign w:val="center"/>
          </w:tcPr>
          <w:p>
            <w:pPr>
              <w:spacing w:line="240" w:lineRule="auto"/>
              <w:rPr>
                <w:color w:val="000000"/>
                <w:sz w:val="20"/>
                <w:szCs w:val="20"/>
              </w:rPr>
            </w:pPr>
            <w:r>
              <w:rPr>
                <w:rFonts w:hint="eastAsia"/>
                <w:color w:val="000000"/>
                <w:sz w:val="20"/>
                <w:szCs w:val="20"/>
              </w:rPr>
              <w:t>发布社会救助相关信息</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sz w:val="20"/>
                <w:szCs w:val="20"/>
              </w:rPr>
            </w:pPr>
          </w:p>
        </w:tc>
        <w:tc>
          <w:tcPr>
            <w:tcW w:w="1275" w:type="dxa"/>
            <w:vMerge w:val="continue"/>
            <w:vAlign w:val="center"/>
          </w:tcPr>
          <w:p>
            <w:pPr>
              <w:spacing w:line="240" w:lineRule="auto"/>
              <w:jc w:val="center"/>
              <w:rPr>
                <w:color w:val="000000"/>
                <w:sz w:val="20"/>
                <w:szCs w:val="20"/>
              </w:rPr>
            </w:pPr>
          </w:p>
        </w:tc>
        <w:tc>
          <w:tcPr>
            <w:tcW w:w="3118" w:type="dxa"/>
            <w:vMerge w:val="continue"/>
            <w:vAlign w:val="center"/>
          </w:tcPr>
          <w:p>
            <w:pPr>
              <w:spacing w:line="240" w:lineRule="auto"/>
              <w:rPr>
                <w:sz w:val="20"/>
                <w:szCs w:val="20"/>
              </w:rPr>
            </w:pPr>
          </w:p>
        </w:tc>
        <w:tc>
          <w:tcPr>
            <w:tcW w:w="1293" w:type="dxa"/>
            <w:vMerge w:val="continue"/>
            <w:vAlign w:val="center"/>
          </w:tcPr>
          <w:p>
            <w:pPr>
              <w:spacing w:line="240" w:lineRule="auto"/>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color w:val="000000"/>
                <w:sz w:val="20"/>
                <w:szCs w:val="20"/>
              </w:rPr>
            </w:pPr>
            <w:r>
              <w:rPr>
                <w:rFonts w:hint="eastAsia"/>
                <w:color w:val="000000"/>
                <w:sz w:val="20"/>
                <w:szCs w:val="20"/>
              </w:rPr>
              <w:t>食品安全</w:t>
            </w:r>
          </w:p>
        </w:tc>
        <w:tc>
          <w:tcPr>
            <w:tcW w:w="2990" w:type="dxa"/>
            <w:vAlign w:val="center"/>
          </w:tcPr>
          <w:p>
            <w:pPr>
              <w:spacing w:line="240" w:lineRule="auto"/>
              <w:rPr>
                <w:color w:val="000000"/>
                <w:sz w:val="20"/>
                <w:szCs w:val="20"/>
              </w:rPr>
            </w:pPr>
            <w:r>
              <w:rPr>
                <w:rFonts w:hint="eastAsia"/>
                <w:color w:val="000000"/>
                <w:sz w:val="20"/>
                <w:szCs w:val="20"/>
              </w:rPr>
              <w:t>食品工作、食品安全相关情况</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sz w:val="20"/>
                <w:szCs w:val="20"/>
              </w:rPr>
            </w:pPr>
          </w:p>
        </w:tc>
        <w:tc>
          <w:tcPr>
            <w:tcW w:w="1275" w:type="dxa"/>
            <w:vMerge w:val="continue"/>
            <w:vAlign w:val="center"/>
          </w:tcPr>
          <w:p>
            <w:pPr>
              <w:spacing w:line="240" w:lineRule="auto"/>
              <w:jc w:val="center"/>
              <w:rPr>
                <w:color w:val="000000"/>
                <w:sz w:val="20"/>
                <w:szCs w:val="20"/>
              </w:rPr>
            </w:pPr>
          </w:p>
        </w:tc>
        <w:tc>
          <w:tcPr>
            <w:tcW w:w="3118" w:type="dxa"/>
            <w:vMerge w:val="continue"/>
            <w:vAlign w:val="center"/>
          </w:tcPr>
          <w:p>
            <w:pPr>
              <w:spacing w:line="240" w:lineRule="auto"/>
              <w:rPr>
                <w:sz w:val="20"/>
                <w:szCs w:val="20"/>
              </w:rPr>
            </w:pPr>
          </w:p>
        </w:tc>
        <w:tc>
          <w:tcPr>
            <w:tcW w:w="1293" w:type="dxa"/>
            <w:vMerge w:val="continue"/>
            <w:vAlign w:val="center"/>
          </w:tcPr>
          <w:p>
            <w:pPr>
              <w:spacing w:line="240" w:lineRule="auto"/>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号）、中共宁波市委办公厅宁波市人民政府办公厅《关于进一步推进预决算公开工作若干规定》的通知（甬党办〔</w:t>
            </w:r>
            <w:r>
              <w:rPr>
                <w:kern w:val="0"/>
                <w:sz w:val="20"/>
                <w:szCs w:val="20"/>
              </w:rPr>
              <w:t>201</w:t>
            </w:r>
            <w:r>
              <w:rPr>
                <w:rFonts w:hint="eastAsia"/>
                <w:kern w:val="0"/>
                <w:sz w:val="20"/>
                <w:szCs w:val="20"/>
              </w:rPr>
              <w:t>6〕102号）、财政部关于印发《地方预决算公开操作规程》的通知（财预〔</w:t>
            </w:r>
            <w:r>
              <w:rPr>
                <w:kern w:val="0"/>
                <w:sz w:val="20"/>
                <w:szCs w:val="20"/>
              </w:rPr>
              <w:t>201</w:t>
            </w:r>
            <w:r>
              <w:rPr>
                <w:rFonts w:hint="eastAsia"/>
                <w:kern w:val="0"/>
                <w:sz w:val="20"/>
                <w:szCs w:val="20"/>
              </w:rPr>
              <w:t>6〕143号）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hint="eastAsia"/>
                <w:sz w:val="20"/>
                <w:szCs w:val="20"/>
              </w:rPr>
            </w:pPr>
            <w:r>
              <w:rPr>
                <w:rFonts w:hint="eastAsia"/>
                <w:sz w:val="20"/>
                <w:szCs w:val="20"/>
              </w:rPr>
              <w:t>行政执法</w:t>
            </w:r>
          </w:p>
        </w:tc>
        <w:tc>
          <w:tcPr>
            <w:tcW w:w="1128" w:type="dxa"/>
            <w:vAlign w:val="center"/>
          </w:tcPr>
          <w:p>
            <w:pPr>
              <w:jc w:val="center"/>
              <w:rPr>
                <w:rFonts w:hint="eastAsia"/>
                <w:sz w:val="20"/>
                <w:szCs w:val="20"/>
              </w:rPr>
            </w:pPr>
            <w:r>
              <w:rPr>
                <w:rFonts w:hint="eastAsia"/>
                <w:sz w:val="20"/>
                <w:szCs w:val="20"/>
              </w:rPr>
              <w:t>行政处罚</w:t>
            </w:r>
          </w:p>
        </w:tc>
        <w:tc>
          <w:tcPr>
            <w:tcW w:w="2990" w:type="dxa"/>
            <w:vAlign w:val="center"/>
          </w:tcPr>
          <w:p>
            <w:pPr>
              <w:rPr>
                <w:rFonts w:hint="eastAsia"/>
                <w:color w:val="000000"/>
                <w:sz w:val="20"/>
                <w:szCs w:val="20"/>
              </w:rPr>
            </w:pPr>
            <w:r>
              <w:rPr>
                <w:rFonts w:hint="eastAsia"/>
                <w:color w:val="000000"/>
                <w:sz w:val="20"/>
                <w:szCs w:val="20"/>
              </w:rPr>
              <w:t>有关行政处罚结果信息</w:t>
            </w:r>
          </w:p>
        </w:tc>
        <w:tc>
          <w:tcPr>
            <w:tcW w:w="2127" w:type="dxa"/>
            <w:vAlign w:val="center"/>
          </w:tcPr>
          <w:p>
            <w:pPr>
              <w:jc w:val="left"/>
              <w:rPr>
                <w:rFonts w:hint="eastAsia"/>
              </w:rPr>
            </w:pPr>
            <w:r>
              <w:rPr>
                <w:rFonts w:hint="eastAsia"/>
                <w:kern w:val="0"/>
                <w:sz w:val="20"/>
                <w:szCs w:val="20"/>
              </w:rPr>
              <w:t>《中华人民共和国政府信息公开条例》（国务院令第711号）</w:t>
            </w:r>
          </w:p>
        </w:tc>
        <w:tc>
          <w:tcPr>
            <w:tcW w:w="1334" w:type="dxa"/>
            <w:vAlign w:val="center"/>
          </w:tcPr>
          <w:p>
            <w:pPr>
              <w:jc w:val="center"/>
              <w:rPr>
                <w:rFonts w:hint="eastAsia"/>
                <w:sz w:val="20"/>
                <w:szCs w:val="20"/>
              </w:rPr>
            </w:pPr>
            <w:r>
              <w:rPr>
                <w:rFonts w:hint="eastAsia"/>
                <w:sz w:val="20"/>
                <w:szCs w:val="20"/>
              </w:rPr>
              <w:t>各相关部门</w:t>
            </w:r>
          </w:p>
        </w:tc>
        <w:tc>
          <w:tcPr>
            <w:tcW w:w="1275" w:type="dxa"/>
            <w:vAlign w:val="center"/>
          </w:tcPr>
          <w:p>
            <w:pPr>
              <w:jc w:val="center"/>
              <w:rPr>
                <w:rFonts w:hint="eastAsia"/>
                <w:color w:val="000000"/>
                <w:sz w:val="20"/>
                <w:szCs w:val="20"/>
              </w:rPr>
            </w:pPr>
            <w:r>
              <w:rPr>
                <w:rFonts w:hint="eastAsia"/>
                <w:color w:val="000000"/>
                <w:sz w:val="20"/>
                <w:szCs w:val="20"/>
              </w:rPr>
              <w:t>相关信息形成或变更之日起20个工作日内</w:t>
            </w:r>
          </w:p>
        </w:tc>
        <w:tc>
          <w:tcPr>
            <w:tcW w:w="3118" w:type="dxa"/>
            <w:vAlign w:val="center"/>
          </w:tcPr>
          <w:p>
            <w:pPr>
              <w:rPr>
                <w:sz w:val="20"/>
                <w:szCs w:val="20"/>
              </w:rPr>
            </w:pPr>
            <w:r>
              <w:rPr>
                <w:rFonts w:ascii="Segoe UI Symbol" w:hAnsi="Segoe UI Symbol"/>
                <w:sz w:val="20"/>
                <w:szCs w:val="20"/>
              </w:rPr>
              <w:t>☑</w:t>
            </w:r>
            <w:r>
              <w:rPr>
                <w:rFonts w:hint="eastAsia"/>
                <w:sz w:val="20"/>
                <w:szCs w:val="20"/>
              </w:rPr>
              <w:t>政府网站       □政府公报</w:t>
            </w:r>
          </w:p>
          <w:p>
            <w:pPr>
              <w:rPr>
                <w:rFonts w:hint="eastAsia"/>
                <w:sz w:val="20"/>
                <w:szCs w:val="20"/>
              </w:rPr>
            </w:pPr>
            <w:r>
              <w:rPr>
                <w:rFonts w:hint="eastAsia"/>
                <w:sz w:val="20"/>
                <w:szCs w:val="20"/>
              </w:rPr>
              <w:t>□政务微博       □政务微信</w:t>
            </w:r>
          </w:p>
          <w:p>
            <w:pPr>
              <w:rPr>
                <w:rFonts w:hint="eastAsia"/>
                <w:sz w:val="20"/>
                <w:szCs w:val="20"/>
              </w:rPr>
            </w:pPr>
            <w:r>
              <w:rPr>
                <w:rFonts w:hint="eastAsia"/>
                <w:sz w:val="20"/>
                <w:szCs w:val="20"/>
              </w:rPr>
              <w:t>□移动客户端     □微视</w:t>
            </w:r>
          </w:p>
          <w:p>
            <w:pPr>
              <w:rPr>
                <w:rFonts w:hint="eastAsia"/>
                <w:sz w:val="20"/>
                <w:szCs w:val="20"/>
              </w:rPr>
            </w:pPr>
            <w:r>
              <w:rPr>
                <w:rFonts w:hint="eastAsia"/>
                <w:sz w:val="20"/>
                <w:szCs w:val="20"/>
              </w:rPr>
              <w:t>□手机短信推送   □电视</w:t>
            </w:r>
          </w:p>
          <w:p>
            <w:pPr>
              <w:rPr>
                <w:rFonts w:hint="eastAsia"/>
                <w:sz w:val="20"/>
                <w:szCs w:val="20"/>
              </w:rPr>
            </w:pPr>
            <w:r>
              <w:rPr>
                <w:rFonts w:hint="eastAsia"/>
                <w:sz w:val="20"/>
                <w:szCs w:val="20"/>
              </w:rPr>
              <w:t>□广播           □报刊</w:t>
            </w:r>
          </w:p>
          <w:p>
            <w:pPr>
              <w:rPr>
                <w:rFonts w:hint="eastAsia"/>
                <w:sz w:val="20"/>
                <w:szCs w:val="20"/>
              </w:rPr>
            </w:pPr>
            <w:r>
              <w:rPr>
                <w:rFonts w:hint="eastAsia"/>
                <w:sz w:val="20"/>
                <w:szCs w:val="20"/>
              </w:rPr>
              <w:t>□信息公告栏     □电子信息屏</w:t>
            </w:r>
          </w:p>
          <w:p>
            <w:pPr>
              <w:rPr>
                <w:rFonts w:hint="eastAsia"/>
                <w:sz w:val="20"/>
                <w:szCs w:val="20"/>
              </w:rPr>
            </w:pPr>
            <w:r>
              <w:rPr>
                <w:rFonts w:hint="eastAsia"/>
                <w:sz w:val="20"/>
                <w:szCs w:val="20"/>
              </w:rPr>
              <w:t>□政务服务中心（行政审批局）</w:t>
            </w:r>
          </w:p>
          <w:p>
            <w:pPr>
              <w:rPr>
                <w:rFonts w:hint="eastAsia"/>
                <w:sz w:val="20"/>
                <w:szCs w:val="20"/>
              </w:rPr>
            </w:pPr>
            <w:r>
              <w:rPr>
                <w:rFonts w:hint="eastAsia"/>
                <w:sz w:val="20"/>
                <w:szCs w:val="20"/>
              </w:rPr>
              <w:t>□便民服务中心   □便民服务点（室）</w:t>
            </w:r>
          </w:p>
          <w:p>
            <w:pPr>
              <w:rPr>
                <w:rFonts w:hint="eastAsia"/>
                <w:sz w:val="20"/>
                <w:szCs w:val="20"/>
              </w:rPr>
            </w:pPr>
            <w:r>
              <w:rPr>
                <w:rFonts w:hint="eastAsia"/>
                <w:sz w:val="20"/>
                <w:szCs w:val="20"/>
              </w:rPr>
              <w:t>□图书馆         □档案馆</w:t>
            </w:r>
          </w:p>
          <w:p>
            <w:pPr>
              <w:rPr>
                <w:rFonts w:ascii="Segoe UI Symbol" w:hAnsi="Segoe UI Symbol"/>
                <w:sz w:val="20"/>
                <w:szCs w:val="20"/>
              </w:rPr>
            </w:pPr>
            <w:r>
              <w:rPr>
                <w:rFonts w:hint="eastAsia"/>
                <w:sz w:val="20"/>
                <w:szCs w:val="20"/>
              </w:rPr>
              <w:t>□其他</w:t>
            </w:r>
          </w:p>
        </w:tc>
        <w:tc>
          <w:tcPr>
            <w:tcW w:w="1293" w:type="dxa"/>
            <w:vAlign w:val="center"/>
          </w:tcPr>
          <w:p>
            <w:pPr>
              <w:rPr>
                <w:sz w:val="20"/>
                <w:szCs w:val="20"/>
              </w:rPr>
            </w:pPr>
            <w:r>
              <w:rPr>
                <w:rFonts w:hint="eastAsia"/>
                <w:sz w:val="20"/>
                <w:szCs w:val="20"/>
              </w:rPr>
              <w:t>□预公开</w:t>
            </w:r>
          </w:p>
          <w:p>
            <w:pPr>
              <w:rPr>
                <w:rFonts w:hint="eastAsia"/>
                <w:sz w:val="20"/>
                <w:szCs w:val="20"/>
              </w:rPr>
            </w:pPr>
            <w:r>
              <w:rPr>
                <w:rFonts w:ascii="Segoe UI Symbol" w:hAnsi="Segoe UI Symbol"/>
                <w:sz w:val="20"/>
                <w:szCs w:val="20"/>
              </w:rPr>
              <w:t>☑</w:t>
            </w:r>
            <w:r>
              <w:rPr>
                <w:rFonts w:hint="eastAsia"/>
                <w:sz w:val="20"/>
                <w:szCs w:val="20"/>
              </w:rPr>
              <w:t>全文发布</w:t>
            </w:r>
          </w:p>
          <w:p>
            <w:pPr>
              <w:rPr>
                <w:rFonts w:hint="eastAsia"/>
                <w:sz w:val="20"/>
                <w:szCs w:val="20"/>
              </w:rPr>
            </w:pPr>
            <w:r>
              <w:rPr>
                <w:rFonts w:hint="eastAsia"/>
                <w:sz w:val="20"/>
                <w:szCs w:val="20"/>
              </w:rPr>
              <w:t>□脱密（脱敏）公开</w:t>
            </w:r>
          </w:p>
          <w:p>
            <w:pPr>
              <w:rPr>
                <w:rFonts w:hint="eastAsia"/>
                <w:sz w:val="20"/>
                <w:szCs w:val="20"/>
              </w:rPr>
            </w:pPr>
            <w:r>
              <w:rPr>
                <w:rFonts w:hint="eastAsia"/>
                <w:sz w:val="20"/>
                <w:szCs w:val="20"/>
              </w:rPr>
              <w:t>□政策解读</w:t>
            </w:r>
          </w:p>
          <w:p>
            <w:pPr>
              <w:rPr>
                <w:rFonts w:hint="eastAsia"/>
                <w:sz w:val="20"/>
                <w:szCs w:val="20"/>
              </w:rPr>
            </w:pPr>
            <w:r>
              <w:rPr>
                <w:rFonts w:hint="eastAsia"/>
                <w:sz w:val="20"/>
                <w:szCs w:val="20"/>
              </w:rPr>
              <w:t>□现场宣讲</w:t>
            </w:r>
          </w:p>
          <w:p>
            <w:pPr>
              <w:rPr>
                <w:rFonts w:hint="eastAsia"/>
                <w:sz w:val="20"/>
                <w:szCs w:val="20"/>
              </w:rPr>
            </w:pPr>
            <w:r>
              <w:rPr>
                <w:rFonts w:hint="eastAsia"/>
                <w:sz w:val="20"/>
                <w:szCs w:val="20"/>
              </w:rPr>
              <w:t>□其他</w:t>
            </w:r>
          </w:p>
        </w:tc>
        <w:tc>
          <w:tcPr>
            <w:tcW w:w="1216" w:type="dxa"/>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rFonts w:hint="eastAsia"/>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每年1月31日前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rPr>
            </w:pPr>
            <w:r>
              <w:rPr>
                <w:rFonts w:hint="eastAsia"/>
                <w:sz w:val="20"/>
                <w:szCs w:val="20"/>
              </w:rPr>
              <w:t>咨询电话：</w:t>
            </w:r>
          </w:p>
          <w:p>
            <w:pPr>
              <w:spacing w:line="240" w:lineRule="auto"/>
              <w:jc w:val="center"/>
              <w:rPr>
                <w:rFonts w:hint="eastAsia"/>
                <w:sz w:val="20"/>
                <w:szCs w:val="20"/>
              </w:rPr>
            </w:pPr>
            <w:r>
              <w:rPr>
                <w:rFonts w:hint="eastAsia"/>
                <w:sz w:val="20"/>
                <w:szCs w:val="20"/>
              </w:rPr>
              <w:t>0574-63701008</w:t>
            </w:r>
          </w:p>
          <w:p>
            <w:pPr>
              <w:jc w:val="center"/>
              <w:rPr>
                <w:rFonts w:hint="eastAsia"/>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4B"/>
    <w:rsid w:val="00077DED"/>
    <w:rsid w:val="0008482C"/>
    <w:rsid w:val="000D793B"/>
    <w:rsid w:val="000F4B31"/>
    <w:rsid w:val="00125ACD"/>
    <w:rsid w:val="001409F6"/>
    <w:rsid w:val="001445BC"/>
    <w:rsid w:val="001966F8"/>
    <w:rsid w:val="001D1EF1"/>
    <w:rsid w:val="00303D4B"/>
    <w:rsid w:val="00340ECF"/>
    <w:rsid w:val="00362EA2"/>
    <w:rsid w:val="00395AF4"/>
    <w:rsid w:val="003D1B38"/>
    <w:rsid w:val="004C38BD"/>
    <w:rsid w:val="005D5BC4"/>
    <w:rsid w:val="00702006"/>
    <w:rsid w:val="00716847"/>
    <w:rsid w:val="00730BD9"/>
    <w:rsid w:val="00732C12"/>
    <w:rsid w:val="007D3337"/>
    <w:rsid w:val="00810993"/>
    <w:rsid w:val="008420FC"/>
    <w:rsid w:val="00884650"/>
    <w:rsid w:val="008D42B9"/>
    <w:rsid w:val="008F5F88"/>
    <w:rsid w:val="009301FD"/>
    <w:rsid w:val="00993677"/>
    <w:rsid w:val="009B57DE"/>
    <w:rsid w:val="009C321E"/>
    <w:rsid w:val="00A970EC"/>
    <w:rsid w:val="00BB009B"/>
    <w:rsid w:val="00C9374F"/>
    <w:rsid w:val="00E124C1"/>
    <w:rsid w:val="00F35C03"/>
    <w:rsid w:val="0A844DEC"/>
    <w:rsid w:val="1A2436E8"/>
    <w:rsid w:val="27AF6650"/>
    <w:rsid w:val="289F00EA"/>
    <w:rsid w:val="2D141439"/>
    <w:rsid w:val="2D786B5B"/>
    <w:rsid w:val="3016196F"/>
    <w:rsid w:val="31F1551C"/>
    <w:rsid w:val="33E51343"/>
    <w:rsid w:val="3C01416B"/>
    <w:rsid w:val="3D4A6983"/>
    <w:rsid w:val="455A75DA"/>
    <w:rsid w:val="559B2A02"/>
    <w:rsid w:val="571E2E47"/>
    <w:rsid w:val="66AB6A1D"/>
    <w:rsid w:val="6C7404FE"/>
    <w:rsid w:val="6E8C6E3C"/>
    <w:rsid w:val="733F3B86"/>
    <w:rsid w:val="762C7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宋体" w:hAnsi="宋体" w:eastAsia="宋体" w:cs="宋体"/>
      <w:sz w:val="18"/>
      <w:szCs w:val="18"/>
    </w:rPr>
  </w:style>
  <w:style w:type="character" w:customStyle="1" w:styleId="8">
    <w:name w:val="页脚 Char"/>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Template>
  <Pages>5</Pages>
  <Words>522</Words>
  <Characters>2979</Characters>
  <Lines>24</Lines>
  <Paragraphs>6</Paragraphs>
  <TotalTime>25</TotalTime>
  <ScaleCrop>false</ScaleCrop>
  <LinksUpToDate>false</LinksUpToDate>
  <CharactersWithSpaces>3495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楊毛线叁号哦耶</cp:lastModifiedBy>
  <dcterms:modified xsi:type="dcterms:W3CDTF">2020-12-14T06:05:41Z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