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慈溪市加大全社会研发投入专项奖励政策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起草说明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 w:cs="Times New Roman"/>
          <w:kern w:val="2"/>
          <w:sz w:val="32"/>
          <w:szCs w:val="24"/>
          <w:lang w:val="en-US" w:eastAsia="ko-KR" w:bidi="ar-SA"/>
        </w:rPr>
        <w:t>一、</w:t>
      </w:r>
      <w:r>
        <w:rPr>
          <w:rFonts w:hint="eastAsia" w:ascii="黑体" w:hAnsi="黑体" w:eastAsia="黑体"/>
          <w:sz w:val="32"/>
        </w:rPr>
        <w:t>起草背景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为贯彻落实《宁波市进一步促进科技创新加快创新型城市建设若干政策（2023版）》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，激发企业研发投入积极性，提高企业研发投入强度，增强企业创新能力，我局结合慈溪实际，研究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制订了《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慈溪市加大全社会研发投入专项奖励政策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，主要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达到三个目标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一是实施研发投入高增长企业配套补助。对符合条件的企业按照研发投入强度对增量部分给予配套补助；二是支持企业用好高能级城市智力资源，对企业在上海、深圳等高能级城市组建运营研发机构，就地招揽聘用本科及以上学历科研人员开展研发活动的，对科研人员薪酬产生的企业研发经费给予分级补助；三是鼓励企业创新中心回归，对企业在省外拥有自持产权面积10000㎡以上，具备离岸孵化、研发销售转化、人才合作等科创功能的“创新中心”，按科创资源赋能市内产业的程度给予分档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lang w:eastAsia="zh-CN"/>
        </w:rPr>
      </w:pPr>
      <w:r>
        <w:rPr>
          <w:rFonts w:hint="default" w:ascii="黑体" w:hAnsi="黑体" w:eastAsia="黑体" w:cs="Times New Roman"/>
          <w:kern w:val="2"/>
          <w:sz w:val="32"/>
          <w:szCs w:val="24"/>
          <w:lang w:eastAsia="zh-CN" w:bidi="ar-SA"/>
          <w:woUserID w:val="1"/>
        </w:rPr>
        <w:t>二</w:t>
      </w:r>
      <w:bookmarkStart w:id="0" w:name="_GoBack"/>
      <w:bookmarkEnd w:id="0"/>
      <w:r>
        <w:rPr>
          <w:rFonts w:hint="eastAsia" w:ascii="黑体" w:hAnsi="黑体" w:eastAsia="黑体" w:cs="Times New Roman"/>
          <w:kern w:val="2"/>
          <w:sz w:val="32"/>
          <w:szCs w:val="24"/>
          <w:lang w:val="en-US" w:eastAsia="zh-CN" w:bidi="ar-SA"/>
        </w:rPr>
        <w:t>、</w:t>
      </w:r>
      <w:r>
        <w:rPr>
          <w:rFonts w:hint="eastAsia" w:ascii="黑体" w:hAnsi="黑体" w:eastAsia="黑体"/>
          <w:sz w:val="32"/>
          <w:lang w:eastAsia="zh-CN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lang w:eastAsia="zh-CN"/>
        </w:rPr>
        <w:t>（一）实施研发投入高增长企业配套补助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该条政策旨在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加强企业研发投入，提高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R&amp;D经费占比，是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加强科技创新工作的重要抓手。根据《宁波市进一步促进科技创新加快创新型城市建设若干政策（2023版）》，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列入宁波研发投入后补助清单的企业（年度研发经费内部支出超过200万元，较上年增长10%以上，且研发经费内部支出占营业收入比重3%以上），按研发投入强度对增量部分按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10%的比例由市、区（县、市）两级共同给予最高300万元支持，区（县、市）级财政按不超过应补金额的50%，最高150万元的额度予以补助。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（二）支持企业用好高能级城市智力资源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该条政策是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落实省委“新春第一会”加强“三支队伍”建设中关于创新人才队伍建设的重要举措。鼓励我市企业在上海、深圳等高能级城市组建运营研发机构，就地招揽聘用高学历的科研人员为我市所用，提升企业研发水平，推动企业高质量发展。对科研人员薪酬产生的企业研发经费（以市科创飞地运营团队认定及第三方审计确认为准）给予分级补助，其中企业研发强度为3%以上、不足4%的补助5%，4%以上、不足6%的补助10%，6%以上的补助15%；上述研发经费不能转化为R＆D的则减半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（三）鼓励企业创新中心回归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这条政策是我市先行示范，鼓励企业创新中心回归。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针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对慈溪市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省外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企业创新中心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服务本地母体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，旨在鼓励企业利用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省外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创新中心的科创资源，促进市内产业转型升级，提高产品的市场竞争力。预计兑现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150万元，需新增预算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具体政策是企业在省外拥有自持产证面积10000㎡以上，具备离岸孵化、研发销售转化、人才合作等科创功能的“创新中心”，按科创资源赋能市内产业的程度给予分档奖励。满足如下条件之一的：通过创新中心招聘的科研人员30%以上与慈溪企业签署劳动合同，或30%以上研发经费转化为企业R＆D的，或带动慈溪自主品牌产品年销售3亿元以上的，给予60万元奖励；上述占比达到60%以上的或年销售6亿元以上的，给予90万元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三、相关问题说明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（一）关于支持对象的范围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本政策支持对象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与宁波上位文件保持一致。如市外建有研发机构、创新中心，需控股运营法人主体。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  <w:lang w:eastAsia="zh-CN"/>
        </w:rPr>
        <w:t>（二）关于补助基数的计算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为了避免重复计算，本政策第二条确认的科研人员薪酬产生的研发经费，可纳入第一条作为后补助条件的相关指标统计，但需在作为补助基数的“增量部分”中剔除，确保补助的公平性、合理性。第一，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二条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设置最低起补金额为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5000元，最高补助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150万元，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这与宁波上位文件保持一致，若宁波政策调整我市可同比例调减。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（三）关于奖励限制条款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根据《慈溪市促进资源要素优化配置推动制造业高质量发展实施办法》（慈政办发〔2021〕73号）文件规定，为促进企业提高亩均效益，优化产业结构，上年度制造业企业亩均效益评价C类企业，减半享受本政策奖补资金，亩均效益评价D类企业，不予享受本政策奖补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lang w:val="en-US" w:eastAsia="zh-CN"/>
        </w:rPr>
      </w:pPr>
      <w:r>
        <w:rPr>
          <w:rFonts w:hint="eastAsia" w:ascii="楷体" w:hAnsi="楷体" w:eastAsia="楷体" w:cs="楷体"/>
          <w:sz w:val="32"/>
          <w:lang w:val="en-US" w:eastAsia="zh-CN"/>
        </w:rPr>
        <w:t>（四）关于执行及期限确定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本政策有效期为一年。年度预算安排资金盘子不足时，补助额度同比例缩减。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M2VkNDliNzE0NmM3OTY2NzczMDAwY2Q0ZDNjNmMifQ=="/>
  </w:docVars>
  <w:rsids>
    <w:rsidRoot w:val="7EEC418A"/>
    <w:rsid w:val="7EEC418A"/>
    <w:rsid w:val="F71FE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line="600" w:lineRule="exact"/>
      <w:jc w:val="both"/>
    </w:pPr>
    <w:rPr>
      <w:rFonts w:ascii="华文中宋" w:hAnsi="华文中宋" w:eastAsia="仿宋" w:cs="Times New Roman"/>
      <w:kern w:val="2"/>
      <w:sz w:val="32"/>
      <w:szCs w:val="24"/>
      <w:lang w:val="en-US" w:eastAsia="ko-KR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2024-03-05T10:34:00Z</dcterms:created>
  <dc:creator>南天星</dc:creator>
  <cp:lastModifiedBy>南天星</cp:lastModifiedBy>
  <dcterms:modified xsi:type="dcterms:W3CDTF">2024-03-05T11:01:35Z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460401CB304C49568074BB4C6DAB2F31_11</vt:lpwstr>
  </property>
</Properties>
</file>