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关于明确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年义务兵家庭优待金标准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征求意见稿）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起草说明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市退役军人事务局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（2022年5月）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根据根据《中华人民共和国兵役法》《军人优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</w:t>
      </w:r>
      <w:r>
        <w:rPr>
          <w:rFonts w:hint="eastAsia" w:ascii="仿宋_GB2312" w:hAnsi="仿宋_GB2312" w:eastAsia="仿宋_GB2312" w:cs="仿宋_GB2312"/>
          <w:sz w:val="32"/>
          <w:szCs w:val="32"/>
        </w:rPr>
        <w:t>优待条例》、《浙江省军人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抚恤</w:t>
      </w:r>
      <w:r>
        <w:rPr>
          <w:rFonts w:hint="eastAsia" w:ascii="仿宋_GB2312" w:hAnsi="仿宋_GB2312" w:eastAsia="仿宋_GB2312" w:cs="仿宋_GB2312"/>
          <w:sz w:val="32"/>
          <w:szCs w:val="32"/>
        </w:rPr>
        <w:t>优待办法》《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转发市民政局等部门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宁波市市区义务兵家庭优待金发放管理办法的通知》（甬政办发〔2014〕220号）和《关于转发慈溪市义务兵家庭优待金发放管理办法的通知》（慈政办发〔2007〕169号）以及拥军优属有关政策规定，依据统计部门公布的数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并结</w:t>
      </w:r>
      <w:r>
        <w:rPr>
          <w:rFonts w:hint="eastAsia" w:ascii="仿宋_GB2312" w:hAnsi="仿宋_GB2312" w:eastAsia="仿宋_GB2312" w:cs="仿宋_GB2312"/>
          <w:sz w:val="32"/>
          <w:szCs w:val="32"/>
        </w:rPr>
        <w:t>合我市实际，明确202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年义务兵家庭优待金标准。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根据《慈溪市义务兵家庭优待金发放管理办法》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年度本市城镇居民人均消费性支出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45967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元、农村居民人均消费性支出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29537</w:t>
      </w:r>
      <w:r>
        <w:rPr>
          <w:rFonts w:hint="eastAsia" w:ascii="仿宋_GB2312" w:hAnsi="仿宋_GB2312" w:eastAsia="仿宋_GB2312" w:cs="仿宋_GB2312"/>
          <w:sz w:val="32"/>
          <w:szCs w:val="32"/>
        </w:rPr>
        <w:t>元统计指标为基础，结合城乡人口比例为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，测算确定我市202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年义务兵家庭优待金标准为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41455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本次明确202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年义务兵家庭优待金标准符合上级政策规定，保证了义务兵优待政策的有效落实。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50375141"/>
    <w:rsid w:val="503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424</Characters>
  <Lines>0</Lines>
  <Paragraphs>0</Paragraphs>
  <TotalTime>0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2022-05-26T06:47:00Z</dcterms:created>
  <dc:creator>小小朋克^_^</dc:creator>
  <cp:lastModifiedBy>小小朋克^_^</cp:lastModifiedBy>
  <dcterms:modified xsi:type="dcterms:W3CDTF">2022-05-26T06:47:29Z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0295F1C8E42C49628D32062E0A491968</vt:lpwstr>
  </property>
</Properties>
</file>