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573" w:after="286"/>
      </w:pPr>
      <w:r>
        <w:rPr>
          <w:rFonts w:hint="eastAsia"/>
        </w:rPr>
        <w:t>《关于进一步惠企纾困优化营商环境的产业政策措施》(征求意见稿)起草说明</w:t>
      </w:r>
    </w:p>
    <w:p>
      <w:pPr>
        <w:pStyle w:val="3"/>
        <w:ind w:firstLine="622"/>
      </w:pPr>
      <w:r>
        <w:rPr>
          <w:rFonts w:hint="eastAsia"/>
        </w:rPr>
        <w:t>一、政策意见制定背景和过程</w:t>
      </w:r>
    </w:p>
    <w:p>
      <w:pPr>
        <w:pStyle w:val="4"/>
        <w:ind w:firstLine="622"/>
      </w:pPr>
      <w:r>
        <w:rPr>
          <w:rFonts w:hint="eastAsia"/>
        </w:rPr>
        <w:t>为深入贯彻落实中央、省和宁波关于助企惠企政策部署要求，市经济和信息化局会同市发改局、市科技局、市财政局、市税务局制定了《关于进一步惠企纾困优化营商环境的产业政策措施（征求意见稿）》。政策初稿形成后书面征求了相关市级部门意见，并采纳吸收了合理意见建议，形成了本征求意见稿。</w:t>
      </w:r>
    </w:p>
    <w:p>
      <w:pPr>
        <w:pStyle w:val="3"/>
        <w:ind w:firstLine="622"/>
      </w:pPr>
      <w:r>
        <w:rPr>
          <w:rFonts w:hint="eastAsia"/>
        </w:rPr>
        <w:t>二、政策意见主要内容</w:t>
      </w:r>
    </w:p>
    <w:p>
      <w:pPr>
        <w:spacing w:line="540" w:lineRule="exact"/>
        <w:ind w:firstLine="622"/>
      </w:pPr>
      <w:r>
        <w:rPr>
          <w:rFonts w:hint="eastAsia"/>
        </w:rPr>
        <w:t>政策聚焦</w:t>
      </w:r>
      <w:r>
        <w:rPr>
          <w:rFonts w:hint="eastAsia" w:ascii="仿宋_GB2312" w:hAnsi="仿宋_GB2312" w:eastAsia="仿宋_GB2312" w:cs="仿宋_GB2312"/>
          <w:color w:val="000000"/>
          <w:sz w:val="32"/>
          <w:szCs w:val="32"/>
          <w:shd w:val="clear" w:fill="FFFFFF"/>
          <w:lang w:val="en-US" w:eastAsia="zh-CN" w:bidi="ar"/>
        </w:rPr>
        <w:t>进一步支持企业稳定发</w:t>
      </w:r>
      <w:bookmarkStart w:id="0" w:name="_GoBack"/>
      <w:bookmarkEnd w:id="0"/>
      <w:r>
        <w:rPr>
          <w:rFonts w:hint="eastAsia" w:ascii="仿宋_GB2312" w:hAnsi="仿宋_GB2312" w:eastAsia="仿宋_GB2312" w:cs="仿宋_GB2312"/>
          <w:color w:val="000000"/>
          <w:sz w:val="32"/>
          <w:szCs w:val="32"/>
          <w:shd w:val="clear" w:fill="FFFFFF"/>
          <w:lang w:val="en-US" w:eastAsia="zh-CN" w:bidi="ar"/>
        </w:rPr>
        <w:t>展，促进经济稳进提质，为高质量发展奠定更为坚实的产业基础，</w:t>
      </w:r>
      <w:r>
        <w:rPr>
          <w:rFonts w:hint="eastAsia" w:ascii="仿宋_GB2312" w:hAnsi="仿宋_GB2312" w:cs="仿宋_GB2312"/>
          <w:color w:val="000000"/>
          <w:sz w:val="32"/>
          <w:szCs w:val="32"/>
          <w:shd w:val="clear" w:fill="FFFFFF"/>
          <w:lang w:val="en-US" w:eastAsia="zh-CN" w:bidi="ar"/>
        </w:rPr>
        <w:t>形成</w:t>
      </w:r>
      <w:r>
        <w:rPr>
          <w:rFonts w:hint="eastAsia" w:ascii="仿宋_GB2312" w:hAnsi="仿宋_GB2312" w:eastAsia="仿宋_GB2312" w:cs="仿宋_GB2312"/>
          <w:color w:val="000000"/>
          <w:sz w:val="32"/>
          <w:szCs w:val="32"/>
          <w:shd w:val="clear" w:fill="FFFFFF"/>
          <w:lang w:val="en-US" w:eastAsia="zh-CN" w:bidi="ar"/>
        </w:rPr>
        <w:t>产业政策措施十五条</w:t>
      </w:r>
      <w:r>
        <w:rPr>
          <w:rFonts w:hint="eastAsia"/>
        </w:rPr>
        <w:t>：</w:t>
      </w:r>
    </w:p>
    <w:p>
      <w:pPr>
        <w:spacing w:line="540" w:lineRule="exact"/>
        <w:ind w:firstLine="625"/>
        <w:rPr>
          <w:rFonts w:hint="eastAsia"/>
        </w:rPr>
      </w:pPr>
      <w:r>
        <w:rPr>
          <w:rFonts w:hint="eastAsia"/>
        </w:rPr>
        <w:t>1、高新技术企业在2022年10月1日至2022年12月31日期间新购置的设备、器具，允许当年一次性全额在计算应纳税所得额时扣除，并允许在税前实行100%加计扣除。</w:t>
      </w:r>
    </w:p>
    <w:p>
      <w:pPr>
        <w:spacing w:line="540" w:lineRule="exact"/>
        <w:ind w:firstLine="625"/>
        <w:rPr>
          <w:rFonts w:hint="eastAsia"/>
        </w:rPr>
      </w:pPr>
      <w:r>
        <w:rPr>
          <w:rFonts w:hint="eastAsia"/>
        </w:rPr>
        <w:t>2、2022年1月1日至12月31日，全省企业职工基本养老保险参保用人单位缴费比例调整为14%，职工（含个体工商户雇工）个人缴费比例保持8%不变。2022年1—7月（费款所属期，下同）参保用人单位多缴的养老保险费，用于抵减2022年8月及以后月份应缴纳的养老保险费。</w:t>
      </w:r>
    </w:p>
    <w:p>
      <w:pPr>
        <w:spacing w:line="540" w:lineRule="exact"/>
        <w:ind w:firstLine="625"/>
        <w:rPr>
          <w:rFonts w:hint="eastAsia"/>
        </w:rPr>
      </w:pPr>
      <w:r>
        <w:rPr>
          <w:rFonts w:hint="eastAsia"/>
        </w:rPr>
        <w:t>3、通过相关部门验收并于2022年投入发电运行、装机容量0.1MW以上的分布式光伏项目的投资方。给予不高于0.1元/瓦的一次性补助，单个项目最高不超过10万元。</w:t>
      </w:r>
    </w:p>
    <w:p>
      <w:pPr>
        <w:spacing w:line="540" w:lineRule="exact"/>
        <w:ind w:firstLine="625"/>
        <w:rPr>
          <w:rFonts w:hint="eastAsia"/>
        </w:rPr>
      </w:pPr>
      <w:r>
        <w:rPr>
          <w:rFonts w:hint="eastAsia"/>
        </w:rPr>
        <w:t>4、本市2022年当年实施完成的节能改造项目的企业（单位）和实施合同能源管理项目的服务机构，项目投资额在30万元以上，年综合节能量超过70吨标煤，符合宁波市节能技术导向要求。按项目的年节能量给予不高于300元/吨的奖励，最高不超过50万元且奖励总额不超过投资额的30%。上述节能项目为合同能源管理的，对项目实施企业和合同能源管理服务机构分别按25%和75%奖励。</w:t>
      </w:r>
    </w:p>
    <w:p>
      <w:pPr>
        <w:spacing w:line="540" w:lineRule="exact"/>
        <w:ind w:firstLine="625"/>
        <w:rPr>
          <w:rFonts w:hint="eastAsia"/>
        </w:rPr>
      </w:pPr>
      <w:r>
        <w:rPr>
          <w:rFonts w:hint="eastAsia"/>
        </w:rPr>
        <w:t>5、鼓励其他营利性服务业企业做大做强。对2022年度以“小升规”形式首次进规的规上其他营利性服务业企业，给予当年营业收入总额2%的一次性补助，最高不超过50万元。对当年营业收入超过上年营业收入的规上专业服务业企业，营业收入每增加100万元，给予1万元一次性奖励，最高不超过100万元，享受“一企一策”政策的除外。</w:t>
      </w:r>
    </w:p>
    <w:p>
      <w:pPr>
        <w:spacing w:line="540" w:lineRule="exact"/>
        <w:ind w:firstLine="625"/>
        <w:rPr>
          <w:rFonts w:hint="eastAsia"/>
        </w:rPr>
      </w:pPr>
      <w:r>
        <w:rPr>
          <w:rFonts w:hint="eastAsia"/>
        </w:rPr>
        <w:t>6、鼓励进入规上企业队伍。对2022年度以“小升规”形式首次进规的制造业企业，给予一次性奖励5万元；对2022年度上半年、三季度、四季度以“月度进规”形式首次进入规上范围的制造业企业，分别给予20万元、15万元、10万元的一次性奖励。</w:t>
      </w:r>
    </w:p>
    <w:p>
      <w:pPr>
        <w:spacing w:line="540" w:lineRule="exact"/>
        <w:ind w:firstLine="625"/>
        <w:rPr>
          <w:rFonts w:hint="eastAsia"/>
        </w:rPr>
      </w:pPr>
      <w:r>
        <w:rPr>
          <w:rFonts w:hint="eastAsia"/>
        </w:rPr>
        <w:t>7、促进规下样本企业优化提升。对2022年度以“非目录”企业形式进入规下样本企业库的制造业企业，根据权重高低最高给予一次性奖励1万元。对规下样本企业2022年营业收入增速超过平均增速，根据权重高低最高给予一次性奖励1万元。</w:t>
      </w:r>
    </w:p>
    <w:p>
      <w:pPr>
        <w:spacing w:line="540" w:lineRule="exact"/>
        <w:ind w:firstLine="625"/>
        <w:rPr>
          <w:rFonts w:hint="eastAsia"/>
        </w:rPr>
      </w:pPr>
      <w:r>
        <w:rPr>
          <w:rFonts w:hint="eastAsia"/>
        </w:rPr>
        <w:t>*8、支持企业冲刺四季度。对前期拉动企业（不含国有及国有控股企业、“百强”企业按集团合并计算，下同），四季度工业产值同比增长15%以上的，按每同比再增长1个百分点予以10万元奖励，最多奖励100万元；对前期拖累企业，四季度工业产值环比第三季度增长15%以上的，按每环比再增长1个百分点予以10万元奖励，最多奖励100万元。前期拉动企业和前期拖累企业名单以宁波市经信局口径为准。对2022年度规上制造业企业，2022年四季度单季产值同比增长10%以上部分，产值每增加500万元，给予5000元奖励，每家企业最高50万。</w:t>
      </w:r>
    </w:p>
    <w:p>
      <w:pPr>
        <w:spacing w:line="540" w:lineRule="exact"/>
        <w:ind w:firstLine="625"/>
        <w:rPr>
          <w:rFonts w:hint="eastAsia"/>
        </w:rPr>
      </w:pPr>
      <w:r>
        <w:rPr>
          <w:rFonts w:hint="eastAsia"/>
        </w:rPr>
        <w:t>*9、支持企业勇夺“开门红”。对2023年第一季度工业产值同比增长15%以上的，按每同比再增加1个百分点予以10万奖励，最多奖励100万元。</w:t>
      </w:r>
    </w:p>
    <w:p>
      <w:pPr>
        <w:spacing w:line="540" w:lineRule="exact"/>
        <w:ind w:firstLine="625"/>
        <w:rPr>
          <w:rFonts w:hint="eastAsia"/>
        </w:rPr>
      </w:pPr>
      <w:r>
        <w:rPr>
          <w:rFonts w:hint="eastAsia"/>
        </w:rPr>
        <w:t>*10、支持发展总部经济。鼓励培育企业立足慈溪，整合资源，打造具备管理、结算、营销、研发等功能的制造业总部型企业，2022年11月1日至2023年12月30日因销售在市外的企业实现回归而新增的地方留成部分二年内由市财政全额返还给镇（街道）。特别重大的，可一事一议。*11、鼓励企业优化组织结构。支持企业通过制造业与制造业分离提升企业专业化程度，2022年11月1日至2023年12月30日期间，由于分离发展产生的运营成本费用由属地镇（街道、开发区）全额奖励。</w:t>
      </w:r>
    </w:p>
    <w:p>
      <w:pPr>
        <w:spacing w:line="540" w:lineRule="exact"/>
        <w:ind w:firstLine="625"/>
        <w:rPr>
          <w:rFonts w:hint="eastAsia"/>
        </w:rPr>
      </w:pPr>
      <w:r>
        <w:rPr>
          <w:rFonts w:hint="eastAsia"/>
        </w:rPr>
        <w:t>12、推进产业创新服务综合体建设，支持特色产业园区、行业协会、龙头企业等市场主体与镇（街道）或产业平台共建产业创新服务综合体，并给予一定补助，鼓励产业创新服务综合体组织开展行业共性关键技术攻关，2022年度对列入市本级行业共性技术攻关的项目，给予每项最高100万元的奖励。</w:t>
      </w:r>
    </w:p>
    <w:p>
      <w:pPr>
        <w:spacing w:line="540" w:lineRule="exact"/>
        <w:ind w:firstLine="625"/>
        <w:rPr>
          <w:rFonts w:hint="eastAsia"/>
        </w:rPr>
      </w:pPr>
      <w:r>
        <w:rPr>
          <w:rFonts w:hint="eastAsia"/>
        </w:rPr>
        <w:t>14、设立主体培育券，用于高新技术培育企业在高新技术企业创建过程中在科技企业服务站购买的规范记账、专项审计、申报辅导等服务，2022年度可按照服务总费用的50%予以奖补。培育期内，同一企业奖补额度最高不超过5万元。</w:t>
      </w:r>
    </w:p>
    <w:p>
      <w:pPr>
        <w:spacing w:line="540" w:lineRule="exact"/>
        <w:ind w:firstLine="625"/>
        <w:rPr>
          <w:rFonts w:hint="eastAsia"/>
        </w:rPr>
      </w:pPr>
      <w:r>
        <w:rPr>
          <w:rFonts w:hint="eastAsia"/>
        </w:rPr>
        <w:t>*15、鼓励科技独角兽、科技小巨人、“3+3+X”产业细分领域头部企业与高校教授团队和科研院所建立科技合作关系，2022年11月1日至2023年12月30日按技术交易额、成果产业化项目的研发投入和合作经费三类指标，就高给予30%最高不超过60万元的补助。</w:t>
      </w:r>
    </w:p>
    <w:sectPr>
      <w:footerReference r:id="rId3" w:type="default"/>
      <w:footerReference r:id="rId4" w:type="even"/>
      <w:type w:val="continuous"/>
      <w:pgSz w:w="11906" w:h="16838"/>
      <w:pgMar w:top="2098" w:right="1474" w:bottom="1985" w:left="1588" w:header="851" w:footer="1361" w:gutter="0"/>
      <w:cols w:space="425" w:num="1"/>
      <w:docGrid w:type="linesAndChars" w:linePitch="573"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公文小标宋简">
    <w:altName w:val="微软雅黑"/>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ind w:left="350" w:right="360" w:firstLine="560"/>
      <w:jc w:val="right"/>
    </w:pPr>
    <w:r>
      <w:rPr>
        <w:rStyle w:val="12"/>
        <w:rFonts w:hint="eastAsia"/>
      </w:rPr>
      <w:t>－</w:t>
    </w: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r>
      <w:rPr>
        <w:rStyle w:val="12"/>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ind w:left="350" w:right="360" w:firstLine="560"/>
    </w:pPr>
    <w:r>
      <w:rPr>
        <w:rStyle w:val="12"/>
        <w:rFonts w:hint="eastAsia"/>
      </w:rPr>
      <w:t>－</w:t>
    </w: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r>
      <w:rPr>
        <w:rStyle w:val="12"/>
        <w:rFonts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mirrorMargins w:val="1"/>
  <w:bordersDoNotSurroundHeader w:val="1"/>
  <w:bordersDoNotSurroundFooter w:val="1"/>
  <w:documentProtection w:enforcement="0"/>
  <w:defaultTabStop w:val="425"/>
  <w:evenAndOddHeaders w:val="1"/>
  <w:drawingGridHorizontalSpacing w:val="311"/>
  <w:drawingGridVerticalSpacing w:val="573"/>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1D"/>
    <w:rsid w:val="001C52BD"/>
    <w:rsid w:val="002605B7"/>
    <w:rsid w:val="00297970"/>
    <w:rsid w:val="002E1F12"/>
    <w:rsid w:val="002F19EE"/>
    <w:rsid w:val="004541D2"/>
    <w:rsid w:val="004831C6"/>
    <w:rsid w:val="005156CB"/>
    <w:rsid w:val="007740F4"/>
    <w:rsid w:val="00944AEF"/>
    <w:rsid w:val="00946850"/>
    <w:rsid w:val="00AA261D"/>
    <w:rsid w:val="00B17B98"/>
    <w:rsid w:val="00B41AC9"/>
    <w:rsid w:val="00BE571D"/>
    <w:rsid w:val="00D25B88"/>
    <w:rsid w:val="00E00C6D"/>
    <w:rsid w:val="00F816E9"/>
    <w:rsid w:val="4CE17CD6"/>
    <w:rsid w:val="4FEB5106"/>
    <w:rsid w:val="55F353BF"/>
    <w:rsid w:val="78342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name="Normal Indent"/>
    <w:lsdException w:uiPriority="99" w:name="footnote text"/>
    <w:lsdException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52" w:lineRule="exact"/>
      <w:ind w:firstLine="200" w:firstLineChars="200"/>
      <w:jc w:val="both"/>
    </w:pPr>
    <w:rPr>
      <w:rFonts w:ascii="Times New Roman" w:hAnsi="Times New Roman" w:eastAsia="仿宋_GB2312" w:cs="Times New Roman"/>
      <w:kern w:val="2"/>
      <w:sz w:val="32"/>
      <w:lang w:val="en-US" w:eastAsia="zh-CN" w:bidi="ar-SA"/>
    </w:rPr>
  </w:style>
  <w:style w:type="paragraph" w:styleId="2">
    <w:name w:val="heading 1"/>
    <w:basedOn w:val="1"/>
    <w:next w:val="1"/>
    <w:uiPriority w:val="0"/>
    <w:pPr>
      <w:keepNext/>
      <w:keepLines/>
      <w:adjustRightInd w:val="0"/>
      <w:jc w:val="distribute"/>
      <w:outlineLvl w:val="0"/>
    </w:pPr>
    <w:rPr>
      <w:rFonts w:eastAsia="方正小标宋简体"/>
      <w:b/>
      <w:color w:val="FF0000"/>
      <w:kern w:val="44"/>
      <w:sz w:val="72"/>
    </w:rPr>
  </w:style>
  <w:style w:type="paragraph" w:styleId="3">
    <w:name w:val="heading 2"/>
    <w:basedOn w:val="1"/>
    <w:next w:val="4"/>
    <w:qFormat/>
    <w:uiPriority w:val="0"/>
    <w:pPr>
      <w:keepNext/>
      <w:keepLines/>
      <w:outlineLvl w:val="1"/>
    </w:pPr>
    <w:rPr>
      <w:rFonts w:ascii="Arial" w:hAnsi="Arial" w:eastAsia="黑体"/>
    </w:rPr>
  </w:style>
  <w:style w:type="paragraph" w:styleId="5">
    <w:name w:val="heading 3"/>
    <w:basedOn w:val="1"/>
    <w:next w:val="4"/>
    <w:qFormat/>
    <w:uiPriority w:val="0"/>
    <w:pPr>
      <w:keepNext/>
      <w:keepLines/>
      <w:spacing w:beforeLines="100" w:afterLines="50"/>
      <w:ind w:firstLine="0" w:firstLineChars="0"/>
      <w:jc w:val="center"/>
      <w:outlineLvl w:val="2"/>
    </w:pPr>
    <w:rPr>
      <w:rFonts w:ascii="公文小标宋简" w:eastAsia="方正小标宋简体"/>
      <w:sz w:val="44"/>
    </w:rPr>
  </w:style>
  <w:style w:type="character" w:default="1" w:styleId="10">
    <w:name w:val="Default Paragraph Font"/>
    <w:semiHidden/>
    <w:unhideWhenUsed/>
    <w:uiPriority w:val="1"/>
  </w:style>
  <w:style w:type="table" w:default="1" w:styleId="20">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4">
    <w:name w:val="Normal Indent"/>
    <w:basedOn w:val="1"/>
    <w:semiHidden/>
    <w:uiPriority w:val="0"/>
    <w:pPr>
      <w:ind w:firstLine="630"/>
    </w:pPr>
    <w:rPr>
      <w:kern w:val="0"/>
    </w:rPr>
  </w:style>
  <w:style w:type="paragraph" w:styleId="6">
    <w:name w:val="Date"/>
    <w:basedOn w:val="1"/>
    <w:next w:val="1"/>
    <w:semiHidden/>
    <w:uiPriority w:val="0"/>
  </w:style>
  <w:style w:type="paragraph" w:styleId="7">
    <w:name w:val="footer"/>
    <w:basedOn w:val="1"/>
    <w:semiHidden/>
    <w:qFormat/>
    <w:uiPriority w:val="0"/>
    <w:pPr>
      <w:tabs>
        <w:tab w:val="center" w:pos="4153"/>
        <w:tab w:val="right" w:pos="8306"/>
      </w:tabs>
      <w:snapToGrid w:val="0"/>
      <w:jc w:val="left"/>
    </w:pPr>
    <w:rPr>
      <w:sz w:val="18"/>
    </w:rPr>
  </w:style>
  <w:style w:type="paragraph" w:styleId="8">
    <w:name w:val="header"/>
    <w:basedOn w:val="1"/>
    <w:semiHidden/>
    <w:qFormat/>
    <w:uiPriority w:val="0"/>
    <w:pPr>
      <w:tabs>
        <w:tab w:val="center" w:pos="4153"/>
        <w:tab w:val="right" w:pos="8306"/>
      </w:tabs>
      <w:snapToGrid w:val="0"/>
      <w:jc w:val="center"/>
    </w:pPr>
    <w:rPr>
      <w:sz w:val="18"/>
    </w:rPr>
  </w:style>
  <w:style w:type="paragraph" w:styleId="9">
    <w:name w:val="Subtitle"/>
    <w:basedOn w:val="1"/>
    <w:next w:val="1"/>
    <w:link w:val="25"/>
    <w:qFormat/>
    <w:uiPriority w:val="11"/>
    <w:pPr>
      <w:spacing w:afterLines="50" w:line="312" w:lineRule="atLeast"/>
      <w:ind w:firstLine="0" w:firstLineChars="0"/>
      <w:jc w:val="center"/>
      <w:outlineLvl w:val="1"/>
    </w:pPr>
    <w:rPr>
      <w:rFonts w:eastAsia="楷体_GB2312" w:asciiTheme="majorHAnsi" w:hAnsiTheme="majorHAnsi" w:cstheme="majorBidi"/>
      <w:bCs/>
      <w:kern w:val="28"/>
      <w:szCs w:val="32"/>
    </w:rPr>
  </w:style>
  <w:style w:type="character" w:styleId="11">
    <w:name w:val="Strong"/>
    <w:basedOn w:val="10"/>
    <w:qFormat/>
    <w:uiPriority w:val="22"/>
    <w:rPr>
      <w:b/>
    </w:rPr>
  </w:style>
  <w:style w:type="character" w:styleId="12">
    <w:name w:val="page number"/>
    <w:basedOn w:val="10"/>
    <w:semiHidden/>
    <w:qFormat/>
    <w:uiPriority w:val="0"/>
    <w:rPr>
      <w:rFonts w:eastAsia="宋体"/>
      <w:sz w:val="28"/>
    </w:rPr>
  </w:style>
  <w:style w:type="character" w:styleId="13">
    <w:name w:val="FollowedHyperlink"/>
    <w:basedOn w:val="10"/>
    <w:semiHidden/>
    <w:unhideWhenUsed/>
    <w:qFormat/>
    <w:uiPriority w:val="99"/>
    <w:rPr>
      <w:color w:val="333333"/>
      <w:u w:val="none"/>
    </w:rPr>
  </w:style>
  <w:style w:type="character" w:styleId="14">
    <w:name w:val="Emphasis"/>
    <w:basedOn w:val="10"/>
    <w:qFormat/>
    <w:uiPriority w:val="20"/>
    <w:rPr>
      <w:rFonts w:eastAsia="楷体_GB2312"/>
      <w:b/>
      <w:iCs/>
      <w:sz w:val="32"/>
    </w:rPr>
  </w:style>
  <w:style w:type="character" w:styleId="15">
    <w:name w:val="HTML Definition"/>
    <w:basedOn w:val="10"/>
    <w:semiHidden/>
    <w:unhideWhenUsed/>
    <w:qFormat/>
    <w:uiPriority w:val="99"/>
    <w:rPr>
      <w:i/>
    </w:rPr>
  </w:style>
  <w:style w:type="character" w:styleId="16">
    <w:name w:val="Hyperlink"/>
    <w:basedOn w:val="10"/>
    <w:semiHidden/>
    <w:unhideWhenUsed/>
    <w:qFormat/>
    <w:uiPriority w:val="99"/>
    <w:rPr>
      <w:color w:val="333333"/>
      <w:u w:val="none"/>
    </w:rPr>
  </w:style>
  <w:style w:type="character" w:styleId="17">
    <w:name w:val="HTML Code"/>
    <w:basedOn w:val="10"/>
    <w:semiHidden/>
    <w:unhideWhenUsed/>
    <w:qFormat/>
    <w:uiPriority w:val="99"/>
    <w:rPr>
      <w:rFonts w:hint="default" w:ascii="Consolas" w:hAnsi="Consolas" w:eastAsia="Consolas" w:cs="Consolas"/>
      <w:color w:val="C7254E"/>
      <w:sz w:val="21"/>
      <w:szCs w:val="21"/>
      <w:shd w:val="clear" w:fill="F9F2F4"/>
    </w:rPr>
  </w:style>
  <w:style w:type="character" w:styleId="18">
    <w:name w:val="HTML Keyboard"/>
    <w:basedOn w:val="10"/>
    <w:semiHidden/>
    <w:unhideWhenUsed/>
    <w:qFormat/>
    <w:uiPriority w:val="99"/>
    <w:rPr>
      <w:rFonts w:hint="default" w:ascii="Consolas" w:hAnsi="Consolas" w:eastAsia="Consolas" w:cs="Consolas"/>
      <w:color w:val="FFFFFF"/>
      <w:sz w:val="21"/>
      <w:szCs w:val="21"/>
      <w:shd w:val="clear" w:fill="333333"/>
    </w:rPr>
  </w:style>
  <w:style w:type="character" w:styleId="19">
    <w:name w:val="HTML Sample"/>
    <w:basedOn w:val="10"/>
    <w:semiHidden/>
    <w:unhideWhenUsed/>
    <w:uiPriority w:val="99"/>
    <w:rPr>
      <w:rFonts w:ascii="Consolas" w:hAnsi="Consolas" w:eastAsia="Consolas" w:cs="Consolas"/>
      <w:sz w:val="21"/>
      <w:szCs w:val="21"/>
    </w:rPr>
  </w:style>
  <w:style w:type="paragraph" w:customStyle="1" w:styleId="21">
    <w:name w:val="主题词"/>
    <w:basedOn w:val="1"/>
    <w:qFormat/>
    <w:uiPriority w:val="0"/>
    <w:pPr>
      <w:framePr w:wrap="notBeside" w:vAnchor="margin" w:hAnchor="margin" w:yAlign="bottom"/>
      <w:ind w:left="1246" w:hanging="1246"/>
    </w:pPr>
    <w:rPr>
      <w:rFonts w:eastAsia="方正小标宋简体"/>
    </w:rPr>
  </w:style>
  <w:style w:type="paragraph" w:customStyle="1" w:styleId="22">
    <w:name w:val="附件"/>
    <w:basedOn w:val="1"/>
    <w:qFormat/>
    <w:uiPriority w:val="0"/>
    <w:pPr>
      <w:ind w:left="1638" w:hanging="1016"/>
    </w:pPr>
  </w:style>
  <w:style w:type="paragraph" w:customStyle="1" w:styleId="23">
    <w:name w:val="秘密紧急"/>
    <w:basedOn w:val="1"/>
    <w:qFormat/>
    <w:uiPriority w:val="0"/>
    <w:pPr>
      <w:jc w:val="right"/>
    </w:pPr>
    <w:rPr>
      <w:rFonts w:ascii="黑体" w:eastAsia="黑体"/>
    </w:rPr>
  </w:style>
  <w:style w:type="paragraph" w:customStyle="1" w:styleId="24">
    <w:name w:val="抄 送"/>
    <w:basedOn w:val="21"/>
    <w:uiPriority w:val="0"/>
    <w:pPr>
      <w:ind w:left="0" w:firstLine="0"/>
    </w:pPr>
    <w:rPr>
      <w:rFonts w:eastAsia="仿宋_GB2312"/>
    </w:rPr>
  </w:style>
  <w:style w:type="character" w:customStyle="1" w:styleId="25">
    <w:name w:val="副标题 字符"/>
    <w:basedOn w:val="10"/>
    <w:link w:val="9"/>
    <w:qFormat/>
    <w:uiPriority w:val="11"/>
    <w:rPr>
      <w:rFonts w:eastAsia="楷体_GB2312" w:asciiTheme="majorHAnsi" w:hAnsiTheme="majorHAnsi" w:cstheme="majorBidi"/>
      <w:bCs/>
      <w:kern w:val="28"/>
      <w:sz w:val="32"/>
      <w:szCs w:val="32"/>
    </w:rPr>
  </w:style>
  <w:style w:type="character" w:customStyle="1" w:styleId="26">
    <w:name w:val="Intense Emphasis"/>
    <w:basedOn w:val="10"/>
    <w:qFormat/>
    <w:uiPriority w:val="21"/>
    <w:rPr>
      <w:rFonts w:eastAsia="楷体_GB2312"/>
      <w:b/>
      <w:bCs/>
      <w:iCs/>
      <w:color w:val="FF0000"/>
      <w:sz w:val="32"/>
      <w:u w:val="single"/>
    </w:rPr>
  </w:style>
  <w:style w:type="character" w:customStyle="1" w:styleId="27">
    <w:name w:val="vnews"/>
    <w:qFormat/>
    <w:uiPriority w:val="0"/>
  </w:style>
  <w:style w:type="character" w:customStyle="1" w:styleId="28">
    <w:name w:val="hover5"/>
    <w:basedOn w:val="10"/>
    <w:qFormat/>
    <w:uiPriority w:val="0"/>
    <w:rPr>
      <w:color w:val="355E9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3</Pages>
  <Words>231</Words>
  <Characters>1321</Characters>
  <Lines>11</Lines>
  <Paragraphs>3</Paragraphs>
  <TotalTime>0</TotalTime>
  <ScaleCrop>false</ScaleCrop>
  <LinksUpToDate>false</LinksUpToDate>
  <CharactersWithSpaces>1549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2022-05-19T02:40:00Z</dcterms:created>
  <dc:creator>Administrator</dc:creator>
  <cp:lastModifiedBy>Administrator</cp:lastModifiedBy>
  <cp:lastPrinted>2000-11-30T06:55:00Z</cp:lastPrinted>
  <dcterms:modified xsi:type="dcterms:W3CDTF">2022-11-09T02:18:34Z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