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rPr>
          <w:vanish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2022年度慈溪市加快推进食品安全共治智治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奖励实施细则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jc w:val="center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（征求意见稿）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一、食品生产企业(小作坊）“阳光工厂”和“样样赋码”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奖励对象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1.建成“阳光工厂”的食品生产企业（小作坊）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2.已建成“阳光工厂”且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完成“浙食链”样样赋码的食品生产企业。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）奖励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对建成“阳光工厂”的，每家给予不超过2500元的一次性奖励，该项奖励不超过50万元；对完成“浙食链”样样赋码的，按照每只码给予不超过600元的奖励，该项奖励不超过60万元。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申报材料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4" w:leftChars="40" w:firstLine="0" w:firstLineChars="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 xml:space="preserve">   1.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阳光工厂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奖励申报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填写并提交《“阳光工厂”奖励申报表》（附表1-1），以及营业执照、食品生产许可证、经办人身份证复印件（盖公章）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至属地市场监管所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（分局）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样样赋码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奖励申报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填写并提交《“样样赋码”奖励申报表》（附表1-2），以及营业执照、食品生产许可证、经办人身份证复印件（盖公章），至属地市场监管所（分局）。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（四）验收通过条件及时间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食品生产企业“阳光工厂”验收通过条件：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“浙食链”平台有视频监控4个和物联感知3个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（合理缺项除外）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，生产加工过程规范操作，AI抓拍问题及时整改。企业已申领电子许可证，员工健康证有效，及时上传检测报告，阳光工厂考核管理端综合得分90分以上。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食品生产小作坊“阳光工厂”验收通过条件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：“浙食链”平台有视频监控3个，分别安装在原辅料验收、清洁消毒、生产加工等关键点位，实时监控生产加工过程，生产加工过程规范操作，AI抓拍问题及时整改。员工健康证有效，阳光工厂考核管理端综合得分90分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“浙食链”追溯应用样样赋码验收通过条件：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商品外包装上有“浙食链”二维码字样，扫码信息与外包装标签信息完全一致，上链产品数据完整，即物料管理、配方管理、成品管理、生产工单、物料采购、生产入库、出厂检验、赋码审核等数据全部达标，赋码产品在“浙食链”考核管理端成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功上链。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符合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省局“双五评比”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链上点检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月竞赛任务评价指标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中匹配度、覆盖率要求。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验收时间：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2022年10月1日至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二、食品经营环节“浙食链”追溯应用奖励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已经激活应用“浙食链”追溯系统的大型商超、集中配送单位、其他食品经营单位以及推动“浙食链”追溯应用的8家重点农贸市场、1家农批市场。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1.大型商超、集中配送单位：每家给予不超过2000元/年的奖励；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2.其他食品经营单位：每家给予不超过500元/年的奖励；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3.重点农贸市场：每家给予1万元/年的奖励；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4.农批市场：每家给予2万元/年的奖励。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59" w:leftChars="352" w:hanging="320" w:hangingChars="1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以上奖励总计不超过70万元。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（三）申报材料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申报单位填报并提交《2022年度慈溪市食品经营环节“浙食链”追溯应用奖励申报表》（附表2-1），以及营业执照或市场名称登记证、经办人身份证复印件（盖公章）。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（四）验收通过条件及时间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根据《2022年度慈溪市食品经营环节“浙食链”追溯应用奖励考核表》（详见附表2-2、附表2-3、附表2-4、附表2-5），大型商超、集中配送单位、农批及农贸市场累计得分90分以上的，认定为通过验收;其他食品经营户累计得分85分以上的，认定为通过验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验收时间：</w:t>
      </w:r>
      <w:r>
        <w:rPr>
          <w:rFonts w:hint="default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"/>
        </w:rPr>
        <w:t>2022年6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"/>
        </w:rPr>
        <w:t>1日至12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"/>
        </w:rPr>
        <w:t>31</w:t>
      </w:r>
      <w:r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 w:bidi="ar"/>
        </w:rPr>
        <w:t>日，申报对象在验收截止日存续状态并持续符合验收通过条件。</w:t>
      </w:r>
    </w:p>
    <w:p>
      <w:pPr>
        <w:spacing w:line="360" w:lineRule="auto"/>
        <w:ind w:firstLine="64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网络餐饮“一件事”集成改革奖励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奖励对象</w:t>
      </w:r>
    </w:p>
    <w:p>
      <w:pPr>
        <w:spacing w:line="360" w:lineRule="auto"/>
        <w:ind w:firstLine="640"/>
        <w:jc w:val="lef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2022年1月1日至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月3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日期间主体信息在“浙江外卖在线”数字化平台内，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“阳光厨房”、外卖封签和“浙江外卖在线”商户端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规范建设使用的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入网餐饮服务提供者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）奖励标准</w:t>
      </w:r>
    </w:p>
    <w:p>
      <w:pPr>
        <w:spacing w:line="360" w:lineRule="auto"/>
        <w:ind w:firstLine="640"/>
        <w:jc w:val="lef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符合奖励补助的对象，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每家给予不超过500元/年的奖励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该项奖励不超过120万元。</w:t>
      </w:r>
    </w:p>
    <w:p>
      <w:pPr>
        <w:numPr>
          <w:ilvl w:val="0"/>
          <w:numId w:val="1"/>
        </w:numPr>
        <w:spacing w:line="360" w:lineRule="auto"/>
        <w:ind w:firstLine="640"/>
        <w:jc w:val="left"/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申报材料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餐饮服务单位为个体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工商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户的，由经营者填写《网络餐饮“一件事”集成改革奖励申报表》（附表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1），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提交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经营者身份证复印件、营业执照（如主体名称有变更的，提供变更证明材料）复印件。</w:t>
      </w:r>
    </w:p>
    <w:p>
      <w:pPr>
        <w:spacing w:line="360" w:lineRule="auto"/>
        <w:ind w:firstLine="64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餐饮服务单位为企业的，由法定代表人填写《网络餐饮“一件事”集成改革奖励申报表》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附表3-1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提交法定代表人或负责人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身份证复印件、营业执照（如主体名称有变更的，提供变更证明材料）复印件。</w:t>
      </w:r>
    </w:p>
    <w:p>
      <w:pPr>
        <w:spacing w:line="360" w:lineRule="auto"/>
        <w:ind w:firstLine="640"/>
        <w:jc w:val="lef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（四）验收通过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条件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及时间</w:t>
      </w:r>
    </w:p>
    <w:p>
      <w:pPr>
        <w:spacing w:line="360" w:lineRule="auto"/>
        <w:ind w:firstLine="64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认定为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奖励对象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入网餐饮服务提供者，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需在2022年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月1日至12月31日期间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，连续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6个月或以上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同时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满足以下条件：</w:t>
      </w:r>
    </w:p>
    <w:p>
      <w:pPr>
        <w:pStyle w:val="2"/>
        <w:ind w:left="0" w:leftChars="0"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营业时间内，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“阳光厨房”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始终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能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“浙江外卖在线”数字化平台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上保持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正常展示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运行。网络、监控电源固定，不存在人为切断电源的行为。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未因“阳光厨房”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实时公开食品加工制作现场被市场监管部门处罚或责令改正。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设备质量问题、技术原因、网络技术故障、自然灾害等不可抗力因素除外。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2.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能自行印制或购买外卖封签，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对配送的食品予以规范封口。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未因外卖封签未规范使用被市场监管部门处罚或责令改正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或者未因外卖封签被消费者投诉举报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pStyle w:val="2"/>
        <w:ind w:left="0" w:leftChars="0"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3.“浙江外卖在线”商户端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活跃每月符合省局“双五评比”“浙江外卖在线”月竞赛任务评价指标，每次完整填报食品采购索证索票、餐用具消毒、外卖封签使用三项台账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rPr>
          <w:rFonts w:hint="default" w:eastAsia="仿宋_GB2312"/>
          <w:color w:va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验收时间</w:t>
      </w:r>
      <w:r>
        <w:rPr>
          <w:rFonts w:hint="default" w:ascii="仿宋_GB2312" w:hAnsi="宋体" w:eastAsia="仿宋_GB2312"/>
          <w:color w:val="auto"/>
          <w:sz w:val="32"/>
          <w:szCs w:val="32"/>
          <w:lang w:eastAsia="zh-CN"/>
        </w:rPr>
        <w:t>：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>2022年10月1日至12月31日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四、奖励申报、审核及兑现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由市市场监管局发布申报通知，符合条件的申报单位向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属地市场监管所（分局）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提交申报材料。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 xml:space="preserve">  2.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 xml:space="preserve">审核验收 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项目实质性审核。市市场监管局对申报资料进行审核（含实地审核），确定拟奖励对象和金额。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公示程序。审核结束后，由市市场监管局在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慈溪市人民政府网站（http://www.cixi.gov.cn/）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进行公示，公示内容为拟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奖励对象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名称、奖励项目、奖励金额等，公示期为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7天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由市市场监管局把资料递交至市财政局，市财政局对其审核资料进行完整性、合规性审核，同时做好事后监督。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 xml:space="preserve"> 3.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核拨兑现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br w:type="textWrapping"/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eastAsia="zh-CN"/>
        </w:rPr>
        <w:t xml:space="preserve">    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市市场监管局会同市财政局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对符合奖励条件的单位联合发文下拨奖励资金。奖励资金通过宁波市“甬易办”政策平台进行兑付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52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（六）其他说明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本实施细则中如出现超过该项奖励总额度的，在该既定额度内按比例下调兑现标准。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1676" w:leftChars="665" w:hanging="280" w:hangingChars="1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before="62" w:beforeLines="2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表1-1：</w:t>
      </w:r>
    </w:p>
    <w:p>
      <w:pPr>
        <w:adjustRightInd w:val="0"/>
        <w:snapToGrid w:val="0"/>
        <w:spacing w:before="62" w:beforeLines="20"/>
        <w:jc w:val="center"/>
        <w:rPr>
          <w:rFonts w:ascii="黑体" w:eastAsia="黑体"/>
          <w:color w:val="auto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“阳光工厂”奖励申报表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</w:t>
      </w:r>
    </w:p>
    <w:tbl>
      <w:tblPr>
        <w:tblStyle w:val="6"/>
        <w:tblW w:w="90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1"/>
        <w:gridCol w:w="1634"/>
        <w:gridCol w:w="2595"/>
        <w:gridCol w:w="213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95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  <w:t>企业（小作坊）名称</w:t>
            </w:r>
          </w:p>
        </w:tc>
        <w:tc>
          <w:tcPr>
            <w:tcW w:w="708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4498" w:firstLineChars="1600"/>
              <w:jc w:val="both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（盖章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或签字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住    址</w:t>
            </w: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法定代表人（负责人）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eastAsia="zh-CN"/>
              </w:rPr>
              <w:t>申请奖励金额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 xml:space="preserve">            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67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阳光工厂验收结果  </w:t>
            </w: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</w:t>
            </w:r>
          </w:p>
          <w:p>
            <w:pPr>
              <w:pStyle w:val="2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6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符合（）   不符合（）   </w:t>
            </w: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ind w:left="840" w:leftChars="400" w:firstLine="2951" w:firstLineChars="140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验收时间：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67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属地市场监管所（分局）</w:t>
            </w:r>
          </w:p>
          <w:p>
            <w:pPr>
              <w:spacing w:line="600" w:lineRule="exact"/>
              <w:jc w:val="both"/>
              <w:rPr>
                <w:rFonts w:hint="default" w:ascii="仿宋_GB2312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初审意见</w:t>
            </w:r>
          </w:p>
          <w:p>
            <w:pPr>
              <w:spacing w:line="240" w:lineRule="exact"/>
              <w:rPr>
                <w:rFonts w:ascii="仿宋_GB2312" w:hAnsi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               </w:t>
            </w:r>
          </w:p>
        </w:tc>
        <w:tc>
          <w:tcPr>
            <w:tcW w:w="6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left="3781" w:leftChars="1700" w:hanging="211" w:hangingChars="1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                   签字（盖章） </w:t>
            </w:r>
          </w:p>
          <w:p>
            <w:pPr>
              <w:rPr>
                <w:rFonts w:hint="default" w:ascii="仿宋_GB2312" w:hAns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                    年     月    日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67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市市场监督管理局</w:t>
            </w:r>
          </w:p>
          <w:p>
            <w:pPr>
              <w:spacing w:line="240" w:lineRule="exact"/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复审意见</w:t>
            </w:r>
          </w:p>
        </w:tc>
        <w:tc>
          <w:tcPr>
            <w:tcW w:w="6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3795" w:firstLineChars="18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签字（盖章） </w:t>
            </w:r>
          </w:p>
          <w:p>
            <w:pP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                    年 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67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市财政局</w:t>
            </w:r>
          </w:p>
          <w:p>
            <w:pPr>
              <w:spacing w:line="600" w:lineRule="exact"/>
              <w:jc w:val="both"/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审核意见</w:t>
            </w:r>
            <w:r>
              <w:rPr>
                <w:rFonts w:ascii="仿宋_GB2312" w:hAnsi="宋体"/>
                <w:b/>
                <w:bCs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ind w:firstLine="2650" w:firstLineChars="1100"/>
              <w:rPr>
                <w:rFonts w:ascii="仿宋_GB2312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ascii="仿宋_GB2312" w:hAnsi="宋体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宋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left="3992" w:leftChars="1700" w:hanging="422" w:hangingChars="200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             签字（盖章） </w:t>
            </w:r>
          </w:p>
          <w:p>
            <w:pPr>
              <w:ind w:left="3786" w:leftChars="1100" w:hanging="1476" w:hangingChars="700"/>
              <w:rPr>
                <w:rFonts w:hint="eastAsia" w:ascii="仿宋_GB2312" w:hAnsi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年     月    日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  <w:lang w:eastAsia="zh-CN"/>
              </w:rPr>
              <w:t>备注：</w:t>
            </w: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奖励资金通过宁波市“甬易办”政策平台进行兑付。</w:t>
            </w:r>
          </w:p>
        </w:tc>
      </w:tr>
    </w:tbl>
    <w:p>
      <w:pPr>
        <w:adjustRightInd w:val="0"/>
        <w:snapToGrid w:val="0"/>
        <w:spacing w:before="62" w:beforeLines="2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62" w:beforeLines="2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附表：1-2</w:t>
      </w:r>
    </w:p>
    <w:p>
      <w:pPr>
        <w:adjustRightInd w:val="0"/>
        <w:snapToGrid w:val="0"/>
        <w:spacing w:before="62" w:beforeLines="20"/>
        <w:jc w:val="center"/>
        <w:rPr>
          <w:rFonts w:ascii="黑体" w:eastAsia="黑体"/>
          <w:color w:val="auto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“样样赋码”奖励申报表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</w:t>
      </w:r>
    </w:p>
    <w:tbl>
      <w:tblPr>
        <w:tblStyle w:val="6"/>
        <w:tblW w:w="90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08"/>
        <w:gridCol w:w="462"/>
        <w:gridCol w:w="1435"/>
        <w:gridCol w:w="363"/>
        <w:gridCol w:w="2184"/>
        <w:gridCol w:w="76"/>
        <w:gridCol w:w="226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5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7088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4216" w:firstLineChars="1500"/>
              <w:jc w:val="both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住    址</w:t>
            </w: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法定代表人（负责人）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eastAsia="zh-CN"/>
              </w:rPr>
              <w:t>申请奖励金额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 xml:space="preserve">           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条形码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条形码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属地市场监管所（分局）初审意见</w:t>
            </w:r>
          </w:p>
        </w:tc>
        <w:tc>
          <w:tcPr>
            <w:tcW w:w="6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3584" w:firstLineChars="1700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签字（盖章） </w:t>
            </w:r>
          </w:p>
          <w:p>
            <w:pPr>
              <w:ind w:firstLine="3584" w:firstLineChars="1700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年     月    日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市市场监管局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复审意见</w:t>
            </w:r>
          </w:p>
        </w:tc>
        <w:tc>
          <w:tcPr>
            <w:tcW w:w="6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3584" w:firstLineChars="1700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>签字（盖章）</w:t>
            </w:r>
          </w:p>
          <w:p>
            <w:pPr>
              <w:ind w:firstLine="1897" w:firstLineChars="900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年     月    日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市财政局</w:t>
            </w:r>
          </w:p>
          <w:p>
            <w:pPr>
              <w:rPr>
                <w:rFonts w:hint="eastAsia" w:ascii="仿宋_GB2312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                  签字（盖章）                                </w:t>
            </w:r>
          </w:p>
          <w:p>
            <w:pP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  <w:t xml:space="preserve">                                  年     月    日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9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  <w:lang w:eastAsia="zh-CN"/>
              </w:rPr>
              <w:t>备注：产品多填不下，可附清单</w:t>
            </w:r>
            <w:r>
              <w:rPr>
                <w:rFonts w:ascii="仿宋_GB2312" w:hAnsi="宋体"/>
                <w:color w:val="auto"/>
                <w:sz w:val="24"/>
              </w:rPr>
              <w:t>。</w:t>
            </w: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奖励资金通过宁波市“甬易办”政策平台进行兑付</w:t>
            </w:r>
            <w:r>
              <w:rPr>
                <w:rFonts w:hint="default" w:ascii="仿宋_GB2312" w:hAnsi="宋体"/>
                <w:color w:val="auto"/>
                <w:sz w:val="24"/>
                <w:lang w:val="en-US" w:eastAsia="zh-CN"/>
              </w:rPr>
              <w:t>。</w:t>
            </w:r>
          </w:p>
        </w:tc>
      </w:tr>
    </w:tbl>
    <w:p>
      <w:pPr>
        <w:pStyle w:val="9"/>
        <w:rPr>
          <w:rFonts w:hint="eastAsia" w:ascii="仿宋_GB2312" w:hAnsi="宋体" w:eastAsia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1928" w:left="1531" w:header="851" w:footer="1134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附表2-1：</w:t>
      </w:r>
    </w:p>
    <w:p>
      <w:pPr>
        <w:spacing w:line="500" w:lineRule="exact"/>
        <w:jc w:val="center"/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2022年度慈溪市食品经营环节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“浙食链”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追溯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应用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奖励申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报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表</w:t>
      </w:r>
    </w:p>
    <w:p>
      <w:pPr>
        <w:pStyle w:val="2"/>
        <w:rPr>
          <w:rFonts w:hint="eastAsia"/>
        </w:rPr>
      </w:pPr>
    </w:p>
    <w:tbl>
      <w:tblPr>
        <w:tblStyle w:val="6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595"/>
        <w:gridCol w:w="158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报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单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位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统一社会信用代码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市场名称登记证号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经营类型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大型商超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农批市场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农贸市场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集中配送单位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其他食品经营单位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所属市场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经办人  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我承诺：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提供的资料和申报的信息真实有效。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2、提交复印件材料签名并标注与“原件核对一致”。</w:t>
            </w:r>
          </w:p>
          <w:p>
            <w:pPr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3、如违反承诺，愿意承担相关责任。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申报单位负责人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盖章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属地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市场监管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所（分局）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ind w:firstLine="4200" w:firstLineChars="15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签字（盖  章）：</w:t>
            </w:r>
          </w:p>
          <w:p>
            <w:pPr>
              <w:ind w:firstLine="3360" w:firstLineChars="120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市场监管局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复审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签字（盖章）：</w:t>
            </w:r>
          </w:p>
          <w:p>
            <w:pPr>
              <w:ind w:firstLine="3360" w:firstLineChars="1200"/>
              <w:jc w:val="both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市财政局审核意见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/>
                <w:color w:val="auto"/>
                <w:lang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签字（盖章）：</w:t>
            </w:r>
          </w:p>
          <w:p>
            <w:pPr>
              <w:ind w:firstLine="3360" w:firstLineChars="120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奖励资金通过宁波市“甬易办”政策平台进行兑付</w:t>
            </w: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ind w:leftChars="-200" w:hanging="490" w:hangingChars="175"/>
        <w:rPr>
          <w:rFonts w:hint="eastAsia"/>
          <w:color w:val="auto"/>
          <w:sz w:val="28"/>
          <w:szCs w:val="28"/>
          <w:lang w:val="en-US" w:eastAsia="zh-CN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2098" w:right="1531" w:bottom="1928" w:left="1531" w:header="851" w:footer="1418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附表2-2：</w:t>
      </w:r>
    </w:p>
    <w:p>
      <w:pPr>
        <w:spacing w:line="500" w:lineRule="exact"/>
        <w:ind w:firstLine="843" w:firstLineChars="300"/>
        <w:jc w:val="center"/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2022年度慈溪市食品经营环节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“浙食链”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追溯应用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奖励考核表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</w:t>
      </w:r>
      <w:r>
        <w:rPr>
          <w:rFonts w:hint="eastAsia" w:ascii="新宋体" w:hAnsi="新宋体" w:eastAsia="新宋体" w:cs="方正小标宋简体"/>
          <w:b/>
          <w:bCs/>
          <w:color w:val="auto"/>
          <w:sz w:val="28"/>
          <w:szCs w:val="28"/>
          <w:lang w:eastAsia="zh-CN"/>
        </w:rPr>
        <w:t>大型商超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）</w:t>
      </w:r>
    </w:p>
    <w:p>
      <w:pPr>
        <w:rPr>
          <w:rFonts w:hint="default"/>
          <w:color w:val="auto"/>
          <w:lang w:val="en-US" w:eastAsia="zh-CN"/>
        </w:rPr>
      </w:pPr>
    </w:p>
    <w:p>
      <w:pPr>
        <w:spacing w:after="156" w:afterLines="5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地址：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</w:t>
      </w:r>
    </w:p>
    <w:tbl>
      <w:tblPr>
        <w:tblStyle w:val="6"/>
        <w:tblW w:w="14217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660"/>
        <w:gridCol w:w="6780"/>
        <w:gridCol w:w="198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考核情况记录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主体资格（10分）★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证照齐全，合法有效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行政处罚情况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(10分）★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本年度内未发生重大食品安全事故的；未出现因食品安全违法导致处罚款以上情形的。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已接入“浙食链”系统（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分）★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按照接入时间要求，接入激活“浙食链”时间在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2022年5月20日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之前的得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分，之后激活的得1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分。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推进“浙食链”系统应用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与“浙食链”系统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实现数据系统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对接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的得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10分，手工报备交易的得5分。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浙食链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溯源信息真实有效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“浙食链”系统内所有批次产品溯源信息真实有效，凭证齐全。随机抽查5批次产品，发现虚假溯源信息的每批次扣2分，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报备和交易为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红码的每批次扣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1.5分，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的每批次扣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扣完为止。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公示“浙食链”二维码（10分）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在经营场所显著位置公示“浙食链”二维码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场所卫生（10分）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经营场所整洁卫生，光线明亮，商品陈列整齐有序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，销售进口水果的“三专”制度落实到位。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进货查验（10分）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履行进货查验义务，保留进货票据并台账完整规范、合格有效的检测报告及供货商合法资质，保证进货商品质量，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每发现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批次未落实进货查验的，扣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1分，扣完为止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从业人员核酸检测（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根据疫情防控要求本年度内落实按期核酸检测得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5分，抽查或通报从业人员未落实按期核酸检测的，每发现1人扣1分，扣完为止。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赋码、扫码率（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2022年6月1日开始，“浙食链”监管端”未有赋码、扫码扣分情况的得10分，每出现一次扣分（按天数算），扣0.5分，扣完为止。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注：打★的关键项，关键项不符合的采取一票否决制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企业确认意见（签章）：                                    考核人员（签名）：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年    月    日                                             年    月    日          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附表2-3：</w:t>
      </w:r>
    </w:p>
    <w:p>
      <w:pPr>
        <w:spacing w:line="500" w:lineRule="exact"/>
        <w:ind w:firstLine="2530" w:firstLineChars="900"/>
        <w:jc w:val="both"/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2022年度慈溪市食品经营环节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“浙食链”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追溯应用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奖励考核表</w:t>
      </w:r>
    </w:p>
    <w:p>
      <w:pPr>
        <w:pStyle w:val="2"/>
        <w:rPr>
          <w:rFonts w:hint="eastAsia"/>
          <w:color w:val="auto"/>
        </w:rPr>
      </w:pPr>
    </w:p>
    <w:p>
      <w:pPr>
        <w:ind w:firstLine="5341" w:firstLineChars="19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（集中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配送单位）</w:t>
      </w:r>
    </w:p>
    <w:p>
      <w:pPr>
        <w:spacing w:after="156" w:afterLines="5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地址：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</w:t>
      </w:r>
    </w:p>
    <w:tbl>
      <w:tblPr>
        <w:tblStyle w:val="6"/>
        <w:tblW w:w="14277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10"/>
        <w:gridCol w:w="6540"/>
        <w:gridCol w:w="1917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考核情况记录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主体资格（10分）★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证照齐全，合法有效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管理制度落实（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建立健全食品安全管理制度，加强食品安全风险防控。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行政处罚情况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(10分）★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本年度内未出现市场举办方因食品安全违法行为被处罚情形；市场内未发生重大食品安全事故。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已接入“浙食链”系统（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分）★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按照接入时间要求，接入激活“浙食链”时间在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2022年5月20日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之前的得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分，之后激活的得1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分。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推进“浙食链”系统应用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所有配送食材实现浙食链数据全覆盖，上下游数据全链条推送。本年度内每月随机抽查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2批次，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产品未入浙食链、未及时向下游推送数据或自行报备慈溪市内产品的，发现1批次扣1分，扣完为止。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浙食链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溯源信息真实有效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“浙食链”系统内所有批次产品溯源信息真实有效，凭证齐全。随机抽查5批次产品，发现虚假溯源信息的每批次扣2分，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报备和交易为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红码的每批次扣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1.5分，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的每批次扣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扣完为止。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场所卫生（10分）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经营场所整洁卫生，光线明亮，商品陈列整齐有序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进货查验（10分）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履行进货查验义务，保留进货票据并台账完整规范、合格有效的检测报告及供货商合法资质，保证进货商品质量，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每发现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批次未落实进货查验的，扣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1分，扣完为止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从业人员核酸检测（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根据疫情防控要求本年度内落实按期核酸检测得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5分，抽查或通报从业人员未落实按期核酸检测的，每发现1人扣1分，扣完为止。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赋码、扫码率（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2022年6月1日开始，“浙食链”监管端”未有赋码、扫码扣分情况的得10分，每出现一次扣分（按天数算），扣0.5分，扣完为止。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注：打★的关键项，关键项不符合的采取一票否决制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企业确认意见（签章）：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考核人员（签名）： </w:t>
      </w:r>
    </w:p>
    <w:p>
      <w:pPr>
        <w:spacing w:line="360" w:lineRule="auto"/>
        <w:ind w:firstLine="280" w:firstLineChars="1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年    月    日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年    月    日          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附表2-4：</w:t>
      </w:r>
    </w:p>
    <w:p>
      <w:pPr>
        <w:spacing w:line="500" w:lineRule="exact"/>
        <w:ind w:firstLine="2530" w:firstLineChars="900"/>
        <w:jc w:val="both"/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2022年度慈溪市食品经营环节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“浙食链”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追溯应用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奖励考核表</w:t>
      </w:r>
    </w:p>
    <w:p>
      <w:pPr>
        <w:pStyle w:val="2"/>
        <w:rPr>
          <w:rFonts w:hint="eastAsia"/>
          <w:color w:val="auto"/>
        </w:rPr>
      </w:pPr>
    </w:p>
    <w:p>
      <w:pPr>
        <w:ind w:firstLine="4779" w:firstLineChars="1700"/>
        <w:jc w:val="left"/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(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其他食品经营户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)</w:t>
      </w:r>
    </w:p>
    <w:p>
      <w:pPr>
        <w:pStyle w:val="2"/>
        <w:rPr>
          <w:rFonts w:hint="default"/>
          <w:color w:val="auto"/>
          <w:lang w:val="en-US"/>
        </w:rPr>
      </w:pPr>
    </w:p>
    <w:p>
      <w:pPr>
        <w:spacing w:after="156" w:afterLines="5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地址：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</w:t>
      </w:r>
    </w:p>
    <w:tbl>
      <w:tblPr>
        <w:tblStyle w:val="6"/>
        <w:tblW w:w="14187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90"/>
        <w:gridCol w:w="7770"/>
        <w:gridCol w:w="186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考核情况记录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主体资格（10分）★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证照齐全，合法有效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行政处罚情况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(10分）★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本年度内未发生重大食品安全事故的；未出现因食品安全违法导致处罚款以上情形的。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已接入“浙食链”系统（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分）★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按照接入时间要求，接入激活“浙食链”时间在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2022年5月20日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之前的得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分，之后激活的得1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分。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推进“浙食链”系统应用（10分）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每周期内（7天）至少有3日进货报备或交易数据。随机抽查5个周期，每发现一个周期内浙食链活跃度不达标，扣1分，扣完为止。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浙食链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溯源信息真实有效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（10分）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“浙食链”系统内的产品溯源信息真实有效，凭证齐全。随机抽查5批次产品，发现虚假溯源信息的每批次扣2分，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报备和交易为红码的每批次扣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1.5分，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黄码的每批次扣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扣完为止。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公示“浙食链”主体二维码（10分）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在经营场所显著位置公示“浙食链”主体二维码。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场所卫生（10分）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经营场所整洁卫生，光线明亮，商品陈列整齐有序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,如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销售进口水果的“三专”制度落实到位。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进货查验（10分）</w:t>
            </w:r>
          </w:p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履行进货查验义务，保留进货票据并台账完整规范、合格有效的检测报告及供货商合法资质，保证进货商品质量，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每发现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批次未落实进货查验的，扣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1分，扣完为止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从业人员核酸检测（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根据疫情防控要求本年度内落实按期核酸检测得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5分，抽查或通报从业人员未落实按期核酸检测的，每发现1人扣1分，扣完为止。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赋码、扫码率（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2022年6月1日开始，“浙食链”监管端”未有赋码、扫码扣分情况的得10分，每出现一次扣分（按天数算），扣0.5分，扣完为止。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注：打★的关键项，关键项不符合的采取一票否决制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企业确认意见（签章）：                                    考核人员（签名）： </w:t>
      </w:r>
    </w:p>
    <w:p>
      <w:pPr>
        <w:spacing w:line="360" w:lineRule="auto"/>
        <w:ind w:firstLine="280" w:firstLineChars="1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年    月    日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年    月    日           </w:t>
      </w:r>
    </w:p>
    <w:p>
      <w:pP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附表2-5：</w:t>
      </w:r>
    </w:p>
    <w:p>
      <w:pPr>
        <w:spacing w:line="500" w:lineRule="exact"/>
        <w:ind w:firstLine="843" w:firstLineChars="300"/>
        <w:jc w:val="center"/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</w:pP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val="en-US" w:eastAsia="zh-CN"/>
        </w:rPr>
        <w:t>2022年度慈溪市食品经营环节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“浙食链”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  <w:lang w:eastAsia="zh-CN"/>
        </w:rPr>
        <w:t>追溯应用</w:t>
      </w:r>
      <w:r>
        <w:rPr>
          <w:rFonts w:hint="eastAsia" w:ascii="新宋体" w:hAnsi="新宋体" w:eastAsia="新宋体" w:cs="方正小标宋简体"/>
          <w:b/>
          <w:color w:val="auto"/>
          <w:sz w:val="28"/>
          <w:szCs w:val="28"/>
        </w:rPr>
        <w:t>奖励考核表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（农批、农贸市场）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after="156" w:afterLines="5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地址：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</w:t>
      </w:r>
    </w:p>
    <w:tbl>
      <w:tblPr>
        <w:tblStyle w:val="6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547"/>
        <w:gridCol w:w="6423"/>
        <w:gridCol w:w="2877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考核情况记录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（包括佐证资料）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主体资格（10分）★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证照齐全，合法有效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管理制度落实（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建立健全食品安全管理制度，督促销售者履行义务，加强食品安全风险防控。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行政处罚情况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(10分）★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本年度内未出现市场举办方因食品安全违法行为被处罚情形；市场内未发生重大食品安全事故。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推进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“浙食链”系统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分）★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市场内配备专职或兼职人员积极指导场内经营户激活并应用“浙食链”。 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市场活跃度达标情况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根据省局“双五”竞赛要求，农批市场入场销售者7日活跃度不低于60%，农贸市场入场销售者7日活跃度不低于70%，每月不达标扣1分，扣完为止。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浙食链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溯源信息真实有效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场内“浙食链”经营户的产品溯源信息进行审核把关，韭菜、豇豆、芹菜、牛蛙、泥鳅、黄鳝、鳊鱼、鲫鱼、鸡蛋、鸭蛋、猪肉、牛肉、乌鸡、卤肉食品等重点品种经营户“浙食链”主体码有非绿码的，发现1家扣1分，扣完为止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公示“浙食链”主体二维码（10分）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督促指导场内上链“浙食链”的经营户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在经营场所显著位置公示“浙食链”主体二维码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发现1家未公示，扣1分，扣完为止。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场所卫生（10分）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经营场所整洁卫生，光线明亮，商品陈列整齐有序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从业人员核酸检测（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根据疫情防控要求，场内从业人员落实按期核酸检测的得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5分，抽查或通报从业人员未落实按期核酸检测的，每发现1起扣2分，扣完为止。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注：打★的关键项，关键项不符合的采取一票否决制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企业确认意见（签章）：                                    考核人员（签名）： 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ind w:left="0" w:leftChars="0" w:firstLine="420" w:firstLineChars="0"/>
        <w:rPr>
          <w:rFonts w:hint="default"/>
          <w:color w:val="auto"/>
          <w:lang w:val="en-US" w:eastAsia="zh-CN"/>
        </w:rPr>
        <w:sectPr>
          <w:pgSz w:w="16838" w:h="11906" w:orient="landscape"/>
          <w:pgMar w:top="1588" w:right="2098" w:bottom="1474" w:left="1985" w:header="851" w:footer="1418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 xml:space="preserve">年     月      日           </w:t>
      </w:r>
      <w:r>
        <w:rPr>
          <w:rFonts w:hint="eastAsia"/>
          <w:color w:val="auto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年      月      日</w:t>
      </w:r>
    </w:p>
    <w:p>
      <w:pPr>
        <w:adjustRightInd w:val="0"/>
        <w:snapToGrid w:val="0"/>
        <w:spacing w:before="62" w:beforeLines="2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1：</w:t>
      </w:r>
    </w:p>
    <w:p>
      <w:pPr>
        <w:adjustRightInd w:val="0"/>
        <w:snapToGrid w:val="0"/>
        <w:spacing w:before="62" w:beforeLines="20"/>
        <w:jc w:val="center"/>
        <w:rPr>
          <w:rFonts w:ascii="黑体" w:eastAsia="黑体"/>
          <w:color w:val="auto"/>
          <w:sz w:val="36"/>
          <w:szCs w:val="36"/>
          <w:u w:val="single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网络餐饮“一件事”集成改革奖励申报表 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</w:t>
      </w:r>
    </w:p>
    <w:tbl>
      <w:tblPr>
        <w:tblStyle w:val="6"/>
        <w:tblW w:w="90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705"/>
        <w:gridCol w:w="1728"/>
        <w:gridCol w:w="26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91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营业执照名称</w:t>
            </w:r>
          </w:p>
        </w:tc>
        <w:tc>
          <w:tcPr>
            <w:tcW w:w="7126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统一社会信用代码</w:t>
            </w: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申请人身份证号码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Theme="minor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申请人手机</w:t>
            </w: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color w:val="auto"/>
                <w:sz w:val="28"/>
                <w:szCs w:val="28"/>
              </w:rPr>
              <w:t>申报承诺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我承诺：</w:t>
            </w:r>
          </w:p>
          <w:p>
            <w:pPr>
              <w:numPr>
                <w:ilvl w:val="0"/>
                <w:numId w:val="2"/>
              </w:numP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提供的资料和申报的信息真实有效。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2、提交复印件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签名并标注与“原件核对一致”。</w:t>
            </w:r>
          </w:p>
          <w:p>
            <w:pPr>
              <w:ind w:firstLine="64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、如违反承诺，愿意承担相关责任。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人签字（盖章）：           </w:t>
            </w:r>
          </w:p>
          <w:p>
            <w:pPr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年  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属地市场监管所（分局）初审意见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4638" w:firstLineChars="2200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>签字（盖章）</w:t>
            </w:r>
          </w:p>
          <w:p>
            <w:pPr>
              <w:ind w:firstLine="4620" w:firstLineChars="2200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hAnsi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 xml:space="preserve">                                           年     月    日</w:t>
            </w:r>
            <w:r>
              <w:rPr>
                <w:rFonts w:ascii="仿宋_GB2312" w:hAnsi="宋体"/>
                <w:b w:val="0"/>
                <w:bCs w:val="0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00" w:lineRule="exact"/>
              <w:jc w:val="center"/>
              <w:rPr>
                <w:rFonts w:hint="default" w:ascii="仿宋_GB2312" w:hAnsi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市市场监管局复审意见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b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/>
                <w:b/>
                <w:bCs/>
                <w:color w:val="auto"/>
              </w:rPr>
            </w:pPr>
            <w:r>
              <w:rPr>
                <w:rFonts w:ascii="仿宋_GB2312" w:hAnsi="宋体"/>
                <w:b/>
                <w:bCs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ascii="仿宋_GB2312" w:hAnsi="宋体"/>
                <w:b/>
                <w:bCs/>
                <w:color w:val="auto"/>
              </w:rPr>
              <w:t xml:space="preserve">       </w:t>
            </w:r>
            <w:r>
              <w:rPr>
                <w:rFonts w:hint="eastAsia" w:ascii="仿宋_GB2312" w:hAnsi="宋体"/>
                <w:b/>
                <w:bCs/>
                <w:color w:val="auto"/>
              </w:rPr>
              <w:t xml:space="preserve">             </w:t>
            </w:r>
          </w:p>
          <w:p>
            <w:pPr>
              <w:ind w:firstLine="4216" w:firstLineChars="2000"/>
              <w:rPr>
                <w:rFonts w:ascii="仿宋_GB2312" w:hAnsi="宋体"/>
                <w:b/>
                <w:bCs/>
                <w:color w:val="auto"/>
              </w:rPr>
            </w:pPr>
          </w:p>
          <w:p>
            <w:pPr>
              <w:ind w:firstLine="4216" w:firstLineChars="2000"/>
              <w:rPr>
                <w:rFonts w:ascii="仿宋_GB2312" w:hAnsi="宋体"/>
                <w:b/>
                <w:bCs/>
                <w:color w:val="auto"/>
              </w:rPr>
            </w:pPr>
          </w:p>
          <w:p>
            <w:pPr>
              <w:ind w:firstLine="4216" w:firstLineChars="2000"/>
              <w:rPr>
                <w:rFonts w:ascii="仿宋_GB2312" w:hAnsi="宋体"/>
                <w:b/>
                <w:bCs/>
                <w:color w:val="auto"/>
              </w:rPr>
            </w:pPr>
          </w:p>
          <w:p>
            <w:pPr>
              <w:ind w:firstLine="4638" w:firstLineChars="2200"/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ascii="仿宋_GB2312" w:hAnsi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>签字（盖章）</w:t>
            </w:r>
          </w:p>
          <w:p>
            <w:pPr>
              <w:ind w:firstLine="4620" w:firstLineChars="2200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hAnsi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 xml:space="preserve">                                           年     月    日</w:t>
            </w:r>
            <w:r>
              <w:rPr>
                <w:rFonts w:ascii="仿宋_GB2312" w:hAnsi="宋体"/>
                <w:b w:val="0"/>
                <w:bCs w:val="0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/>
                <w:b/>
                <w:bCs/>
                <w:color w:val="auto"/>
                <w:sz w:val="28"/>
                <w:szCs w:val="28"/>
                <w:lang w:val="en-US" w:eastAsia="zh-CN"/>
              </w:rPr>
              <w:t>市财政局审核意见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ind w:firstLine="4638" w:firstLineChars="2200"/>
              <w:rPr>
                <w:rFonts w:ascii="仿宋_GB2312" w:hAnsi="宋体"/>
                <w:b/>
                <w:bCs/>
                <w:color w:val="auto"/>
              </w:rPr>
            </w:pPr>
          </w:p>
          <w:p>
            <w:pPr>
              <w:ind w:firstLine="4638" w:firstLineChars="2200"/>
              <w:rPr>
                <w:rFonts w:ascii="仿宋_GB2312" w:hAnsi="宋体"/>
                <w:b/>
                <w:bCs/>
                <w:color w:val="auto"/>
              </w:rPr>
            </w:pPr>
          </w:p>
          <w:p>
            <w:pPr>
              <w:ind w:firstLine="4638" w:firstLineChars="2200"/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ascii="仿宋_GB2312" w:hAnsi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>签字（盖章）</w:t>
            </w:r>
          </w:p>
          <w:p>
            <w:pPr>
              <w:ind w:firstLine="4620" w:firstLineChars="2200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lang w:val="en-US" w:eastAsia="zh-CN"/>
              </w:rPr>
              <w:t xml:space="preserve">                                           年     月    日</w:t>
            </w:r>
            <w:r>
              <w:rPr>
                <w:rFonts w:ascii="仿宋_GB2312" w:hAnsi="宋体"/>
                <w:b w:val="0"/>
                <w:bCs w:val="0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color w:val="auto"/>
                <w:sz w:val="24"/>
                <w:lang w:val="en-US" w:eastAsia="zh-CN"/>
              </w:rPr>
              <w:t>1、奖励资金通过宁波市宁波市“甬易办”政策平台进行兑付。</w:t>
            </w:r>
          </w:p>
          <w:p>
            <w:pPr>
              <w:spacing w:line="400" w:lineRule="exact"/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2、由属地市场监管所（分局）进行初步审核，写明申报理由及依据。</w:t>
            </w:r>
          </w:p>
          <w:p>
            <w:pPr>
              <w:spacing w:line="400" w:lineRule="exact"/>
              <w:rPr>
                <w:rFonts w:hint="default" w:ascii="仿宋_GB2312" w:hAnsi="宋体"/>
                <w:b/>
                <w:bCs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3、市市场监管局餐饮科根据申报情况进行复审，并建议奖励金额，报分管领导审核。</w:t>
            </w:r>
          </w:p>
        </w:tc>
      </w:tr>
    </w:tbl>
    <w:p>
      <w:pPr>
        <w:spacing w:line="560" w:lineRule="exact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51" w:y="41" w:anchorLock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4288"/>
    <w:multiLevelType w:val="singleLevel"/>
    <w:tmpl w:val="1F75428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6889D85"/>
    <w:multiLevelType w:val="singleLevel"/>
    <w:tmpl w:val="36889D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B2FE9"/>
    <w:rsid w:val="016F4D88"/>
    <w:rsid w:val="06E93B78"/>
    <w:rsid w:val="07F92FB4"/>
    <w:rsid w:val="087134FB"/>
    <w:rsid w:val="08900934"/>
    <w:rsid w:val="08CC0B6D"/>
    <w:rsid w:val="0A677490"/>
    <w:rsid w:val="13775161"/>
    <w:rsid w:val="1F222C09"/>
    <w:rsid w:val="21D35F14"/>
    <w:rsid w:val="249D6890"/>
    <w:rsid w:val="2579098C"/>
    <w:rsid w:val="26FB2FE9"/>
    <w:rsid w:val="30FA54A6"/>
    <w:rsid w:val="34B208FE"/>
    <w:rsid w:val="3AC91A0B"/>
    <w:rsid w:val="3CF6429B"/>
    <w:rsid w:val="3E1833B3"/>
    <w:rsid w:val="3FF72AAB"/>
    <w:rsid w:val="40C7774B"/>
    <w:rsid w:val="47847312"/>
    <w:rsid w:val="49EA6807"/>
    <w:rsid w:val="53B42DD0"/>
    <w:rsid w:val="5430647C"/>
    <w:rsid w:val="57C61A5F"/>
    <w:rsid w:val="57D971AB"/>
    <w:rsid w:val="62D16321"/>
    <w:rsid w:val="62F87FAC"/>
    <w:rsid w:val="65413972"/>
    <w:rsid w:val="6D4A6481"/>
    <w:rsid w:val="6FE81D73"/>
    <w:rsid w:val="725B1920"/>
    <w:rsid w:val="76775BFD"/>
    <w:rsid w:val="7986460F"/>
    <w:rsid w:val="7CA74F95"/>
    <w:rsid w:val="7CC258F7"/>
    <w:rsid w:val="7DEF124E"/>
    <w:rsid w:val="7EFBCB49"/>
    <w:rsid w:val="7FB74378"/>
    <w:rsid w:val="DAFB3063"/>
    <w:rsid w:val="DBFCF8AE"/>
    <w:rsid w:val="DEFF4984"/>
    <w:rsid w:val="F7FD1E7A"/>
    <w:rsid w:val="FF7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2022-05-21T14:04:00Z</dcterms:created>
  <dc:creator>TF</dc:creator>
  <cp:lastModifiedBy>LICHENG</cp:lastModifiedBy>
  <cp:lastPrinted>2022-06-08T02:51:00Z</cp:lastPrinted>
  <dcterms:modified xsi:type="dcterms:W3CDTF">2022-06-08T09:18:40Z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