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spacing w:line="559" w:lineRule="exact"/>
        <w:ind w:firstLine="1712" w:firstLineChars="400"/>
        <w:jc w:val="both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公办幼儿园基本情况表</w:t>
      </w:r>
    </w:p>
    <w:p>
      <w:pPr>
        <w:spacing w:line="579" w:lineRule="exact"/>
        <w:jc w:val="left"/>
        <w:rPr>
          <w:rFonts w:hint="default" w:ascii="Times New Roman" w:hAnsi="Times New Roman" w:cs="Times New Roman"/>
          <w:b/>
          <w:bCs/>
          <w:vanish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：慈溪市胜山镇实验幼儿园南园区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671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全额拨款事业单位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宁波市三星级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4932834.74元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4695417.74元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867240元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2.上级补助收入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3.附属单位上缴收入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237417元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4928608.97元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4061368.97元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2.上缴上级支出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867240元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3.对附属单位补助支出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六、幼儿情况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（一）班级数（个）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6个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大班2、中班2、小班2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134人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大班52、中班46、小班36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6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七、实收保教费（元/年）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867240元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八、收费标准（元/生·月）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小班660、中班660、大班660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GZlNGU1ZmY3MGU0MWUwOTA2ODc5YjBlZDk5NDAifQ=="/>
  </w:docVars>
  <w:rsids>
    <w:rsidRoot w:val="2FF7F61A"/>
    <w:rsid w:val="138709F0"/>
    <w:rsid w:val="2FF7F61A"/>
    <w:rsid w:val="321B4332"/>
    <w:rsid w:val="360A0D64"/>
    <w:rsid w:val="59977B04"/>
    <w:rsid w:val="717F3A33"/>
    <w:rsid w:val="7AF2078B"/>
    <w:rsid w:val="DF737EC1"/>
    <w:rsid w:val="DFBEB81E"/>
    <w:rsid w:val="F7E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478</Characters>
  <Lines>0</Lines>
  <Paragraphs>0</Paragraphs>
  <TotalTime>42</TotalTime>
  <ScaleCrop>false</ScaleCrop>
  <LinksUpToDate>false</LinksUpToDate>
  <CharactersWithSpaces>482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旦旦</cp:lastModifiedBy>
  <dcterms:modified xsi:type="dcterms:W3CDTF">2024-03-06T08:49:13Z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mmondata">
    <vt:lpwstr>eyJoZGlkIjoiZWU2N2JhOGJhYTI4MGVlNTY1OGI2NDVkYmNhMDY1YmYifQ==</vt:lpwstr>
  </property>
  <property fmtid="{D5CDD505-2E9C-101B-9397-08002B2CF9AE}" pid="4" name="ICV">
    <vt:lpwstr>A33D39EC0FD742F4A933EA12D1EDD92C_13</vt:lpwstr>
  </property>
</Properties>
</file>