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慈溪市加大全社会研发投入专项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奖励政策实施细则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cs="仿宋"/>
          <w:sz w:val="32"/>
          <w:szCs w:val="32"/>
          <w:lang w:val="en-US" w:eastAsia="zh-CN"/>
        </w:rPr>
        <w:t>起草说明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kern w:val="0"/>
          <w:sz w:val="32"/>
        </w:rPr>
      </w:pPr>
      <w:r>
        <w:rPr>
          <w:rFonts w:hint="eastAsia" w:ascii="黑体" w:hAnsi="黑体" w:eastAsia="黑体" w:cs="Times New Roman"/>
          <w:kern w:val="0"/>
          <w:sz w:val="32"/>
          <w:szCs w:val="24"/>
          <w:lang w:val="en-US" w:eastAsia="ko-KR" w:bidi="ar-SA"/>
        </w:rPr>
        <w:t>一、</w:t>
      </w:r>
      <w:r>
        <w:rPr>
          <w:rFonts w:hint="eastAsia" w:ascii="黑体" w:hAnsi="黑体" w:eastAsia="黑体"/>
          <w:kern w:val="0"/>
          <w:sz w:val="32"/>
        </w:rPr>
        <w:t>起草背景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执行并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慈溪市加大全社会研发投入专项奖励政策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，激发企业研发投入积极性，提高企业研发投入强度，增强企业创新能力，我局研究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制订了《慈溪市加大全社会研发投入专项奖励政策实施细则》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在支持对象、支持标准、办理流程上予以明确。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kern w:val="0"/>
          <w:sz w:val="32"/>
          <w:lang w:eastAsia="zh-CN"/>
        </w:rPr>
      </w:pPr>
      <w:r>
        <w:rPr>
          <w:rFonts w:hint="default" w:ascii="黑体" w:hAnsi="黑体" w:eastAsia="黑体" w:cs="Times New Roman"/>
          <w:kern w:val="0"/>
          <w:sz w:val="32"/>
          <w:szCs w:val="24"/>
          <w:lang w:eastAsia="zh-CN" w:bidi="ar-SA"/>
        </w:rPr>
        <w:t>二</w:t>
      </w:r>
      <w:r>
        <w:rPr>
          <w:rFonts w:hint="eastAsia" w:ascii="黑体" w:hAnsi="黑体" w:eastAsia="黑体" w:cs="Times New Roman"/>
          <w:kern w:val="0"/>
          <w:sz w:val="32"/>
          <w:szCs w:val="24"/>
          <w:lang w:val="en-US" w:eastAsia="zh-CN" w:bidi="ar-SA"/>
        </w:rPr>
        <w:t>、</w:t>
      </w:r>
      <w:r>
        <w:rPr>
          <w:rFonts w:hint="eastAsia" w:ascii="黑体" w:hAnsi="黑体" w:eastAsia="黑体"/>
          <w:kern w:val="0"/>
          <w:sz w:val="32"/>
          <w:lang w:eastAsia="zh-CN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lang w:val="en-US" w:eastAsia="zh-CN"/>
        </w:rPr>
        <w:t>一</w:t>
      </w:r>
      <w:r>
        <w:rPr>
          <w:rFonts w:hint="eastAsia" w:ascii="仿宋" w:hAnsi="仿宋" w:eastAsia="仿宋" w:cs="仿宋"/>
          <w:kern w:val="0"/>
          <w:sz w:val="32"/>
          <w:lang w:eastAsia="zh-CN"/>
        </w:rPr>
        <w:t>）实施研发投入高增长企业配套补助</w:t>
      </w:r>
      <w:r>
        <w:rPr>
          <w:rFonts w:hint="eastAsia" w:ascii="仿宋" w:hAnsi="仿宋" w:cs="仿宋"/>
          <w:kern w:val="0"/>
          <w:sz w:val="32"/>
          <w:lang w:val="en-US"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lang w:eastAsia="zh-CN"/>
        </w:rPr>
        <w:t>针对年度研发经费内部支出超过200万元、增长超过10%且研发经费占营业收入比重达到3%以上的市本级企业，市级财政将按照宁波市级给予企业的补助金额进行1:1配套奖补，单家企业最高不超过150万元。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lang w:val="en-US" w:eastAsia="zh-CN"/>
        </w:rPr>
        <w:t>二</w:t>
      </w:r>
      <w:r>
        <w:rPr>
          <w:rFonts w:hint="eastAsia" w:ascii="仿宋" w:hAnsi="仿宋" w:eastAsia="仿宋" w:cs="仿宋"/>
          <w:kern w:val="0"/>
          <w:sz w:val="32"/>
          <w:lang w:eastAsia="zh-CN"/>
        </w:rPr>
        <w:t>）支持企业用好高能级城市智力资源</w:t>
      </w:r>
      <w:r>
        <w:rPr>
          <w:rFonts w:hint="eastAsia" w:ascii="仿宋" w:hAnsi="仿宋" w:cs="仿宋"/>
          <w:kern w:val="0"/>
          <w:sz w:val="32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lang w:eastAsia="zh-CN"/>
        </w:rPr>
        <w:t>鼓励企业在上海、深圳等高能级城市组建运营研发机构，并聘用本科及以上学历的科研人员开展研发活动。对于这些异地研发机构的研发人员薪酬计入企业研发经费支出的，根据企业上年度研发投入强度，给予分档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lang w:val="en-US" w:eastAsia="zh-CN"/>
        </w:rPr>
        <w:t>三</w:t>
      </w:r>
      <w:r>
        <w:rPr>
          <w:rFonts w:hint="eastAsia" w:ascii="仿宋" w:hAnsi="仿宋" w:eastAsia="仿宋" w:cs="仿宋"/>
          <w:kern w:val="0"/>
          <w:sz w:val="32"/>
          <w:lang w:eastAsia="zh-CN"/>
        </w:rPr>
        <w:t>）鼓励企业创新中心回归</w:t>
      </w:r>
      <w:r>
        <w:rPr>
          <w:rFonts w:hint="eastAsia" w:ascii="仿宋" w:hAnsi="仿宋" w:cs="仿宋"/>
          <w:kern w:val="0"/>
          <w:sz w:val="32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lang w:eastAsia="zh-CN"/>
        </w:rPr>
        <w:t>对于在省外拥有自持产证面积10000㎡以上，具备离岸孵化、研发销售转化、人才合作等科创功能的“创新中心”的企业，根据创新中心对市内产业的科创资源赋能程度，给予分档奖励。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lang w:val="en-US" w:eastAsia="zh-CN"/>
        </w:rPr>
        <w:t>四</w:t>
      </w:r>
      <w:r>
        <w:rPr>
          <w:rFonts w:hint="eastAsia" w:ascii="仿宋" w:hAnsi="仿宋" w:eastAsia="仿宋" w:cs="仿宋"/>
          <w:kern w:val="0"/>
          <w:sz w:val="32"/>
          <w:lang w:eastAsia="zh-CN"/>
        </w:rPr>
        <w:t>）办理流程</w:t>
      </w:r>
      <w:r>
        <w:rPr>
          <w:rFonts w:hint="eastAsia" w:ascii="仿宋" w:hAnsi="仿宋" w:cs="仿宋"/>
          <w:kern w:val="0"/>
          <w:sz w:val="32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lang w:eastAsia="zh-CN"/>
        </w:rPr>
        <w:t>明确了申请、审核、复核、公示和拨付等流程，确保政策的透明执行和资金合理分配。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lang w:val="en-US" w:eastAsia="zh-CN"/>
        </w:rPr>
        <w:t>五</w:t>
      </w:r>
      <w:r>
        <w:rPr>
          <w:rFonts w:hint="eastAsia" w:ascii="仿宋" w:hAnsi="仿宋" w:eastAsia="仿宋" w:cs="仿宋"/>
          <w:kern w:val="0"/>
          <w:sz w:val="32"/>
          <w:lang w:eastAsia="zh-CN"/>
        </w:rPr>
        <w:t>）附则</w:t>
      </w:r>
      <w:r>
        <w:rPr>
          <w:rFonts w:hint="eastAsia" w:ascii="仿宋" w:hAnsi="仿宋" w:cs="仿宋"/>
          <w:kern w:val="0"/>
          <w:sz w:val="32"/>
          <w:lang w:eastAsia="zh-CN"/>
        </w:rPr>
        <w:t>。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lang w:eastAsia="zh-CN"/>
        </w:rPr>
        <w:t>规定了补助金额的最低门槛、对亩均效益评价不同类别企业的奖补资金享受情况，以及财政资金支持额度的确定方式和政策的执行期限。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lang w:eastAsia="zh-CN"/>
        </w:rPr>
        <w:t>三、</w:t>
      </w:r>
      <w:r>
        <w:rPr>
          <w:rFonts w:hint="eastAsia" w:ascii="黑体" w:hAnsi="黑体" w:eastAsia="黑体" w:cs="黑体"/>
          <w:kern w:val="0"/>
          <w:sz w:val="32"/>
          <w:lang w:val="en-US" w:eastAsia="zh-CN"/>
        </w:rPr>
        <w:t>执行期限</w:t>
      </w:r>
    </w:p>
    <w:p>
      <w:pPr>
        <w:bidi w:val="0"/>
        <w:ind w:firstLine="640" w:firstLineChars="200"/>
      </w:pP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本政策有效期为一年。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由市科技局、市财政局等部门负责解释，自发布之日起实施。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87E8C89-4413-42AE-875B-464ADDA4669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9571ED3-6680-4279-91E4-73372E83DA36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B2A11BBE-006E-4902-B053-3DB89396766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7DA8327-B635-4405-8651-F180EBDBBA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M2VkNDliNzE0NmM3OTY2NzczMDAwY2Q0ZDNjNmMifQ=="/>
  </w:docVars>
  <w:rsids>
    <w:rsidRoot w:val="7EEC418A"/>
    <w:rsid w:val="37743C09"/>
    <w:rsid w:val="480B40FB"/>
    <w:rsid w:val="5A8F2859"/>
    <w:rsid w:val="7EEC418A"/>
    <w:rsid w:val="F71FE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spacing w:line="600" w:lineRule="exact"/>
      <w:jc w:val="both"/>
    </w:pPr>
    <w:rPr>
      <w:rFonts w:ascii="华文中宋" w:hAnsi="华文中宋" w:eastAsia="仿宋" w:cs="Times New Roman"/>
      <w:kern w:val="2"/>
      <w:sz w:val="32"/>
      <w:szCs w:val="24"/>
      <w:lang w:val="en-US" w:eastAsia="ko-KR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2024-03-05T10:34:00Z</dcterms:created>
  <dc:creator>南天星</dc:creator>
  <cp:lastModifiedBy>林&amp;雀@豪&amp;鸣</cp:lastModifiedBy>
  <dcterms:modified xsi:type="dcterms:W3CDTF">2024-04-12T08:41:19Z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6D452DDEE1894349A4253095F21C837E_13</vt:lpwstr>
  </property>
</Properties>
</file>