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imes New Roman"/>
          <w:sz w:val="44"/>
          <w:szCs w:val="44"/>
        </w:rPr>
      </w:pPr>
      <w:bookmarkStart w:id="0" w:name="_GoBack"/>
      <w:bookmarkEnd w:id="0"/>
      <w:r>
        <w:rPr>
          <w:rFonts w:hint="eastAsia" w:ascii="黑体" w:hAnsi="黑体" w:eastAsia="黑体" w:cs="Times New Roman"/>
          <w:sz w:val="44"/>
          <w:szCs w:val="44"/>
        </w:rPr>
        <w:t>慈溪市横河镇人民政府信息主动公开目录清单</w:t>
      </w:r>
    </w:p>
    <w:tbl>
      <w:tblPr>
        <w:tblStyle w:val="4"/>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类别</w:t>
            </w:r>
          </w:p>
        </w:tc>
        <w:tc>
          <w:tcPr>
            <w:tcW w:w="1128" w:type="dxa"/>
            <w:vAlign w:val="center"/>
          </w:tcPr>
          <w:p>
            <w:pPr>
              <w:jc w:val="center"/>
              <w:rPr>
                <w:rFonts w:hint="eastAsia" w:ascii="黑体" w:hAnsi="黑体" w:eastAsia="黑体"/>
                <w:sz w:val="24"/>
                <w:szCs w:val="24"/>
              </w:rPr>
            </w:pPr>
            <w:r>
              <w:rPr>
                <w:rFonts w:hint="eastAsia" w:ascii="黑体" w:hAnsi="黑体" w:eastAsia="黑体"/>
                <w:sz w:val="24"/>
                <w:szCs w:val="24"/>
              </w:rPr>
              <w:t>事项</w:t>
            </w:r>
          </w:p>
          <w:p>
            <w:pPr>
              <w:jc w:val="center"/>
              <w:rPr>
                <w:rFonts w:ascii="黑体" w:hAnsi="黑体" w:eastAsia="黑体"/>
                <w:sz w:val="24"/>
                <w:szCs w:val="24"/>
              </w:rPr>
            </w:pPr>
            <w:r>
              <w:rPr>
                <w:rFonts w:hint="eastAsia" w:ascii="黑体" w:hAnsi="黑体" w:eastAsia="黑体"/>
                <w:sz w:val="24"/>
                <w:szCs w:val="24"/>
              </w:rPr>
              <w:t>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7" w:type="dxa"/>
            <w:vMerge w:val="restart"/>
            <w:vAlign w:val="center"/>
          </w:tcPr>
          <w:p>
            <w:pPr>
              <w:spacing w:line="240" w:lineRule="auto"/>
              <w:jc w:val="center"/>
              <w:rPr>
                <w:sz w:val="20"/>
                <w:szCs w:val="20"/>
              </w:rPr>
            </w:pPr>
            <w:r>
              <w:rPr>
                <w:rFonts w:hint="eastAsia"/>
                <w:sz w:val="20"/>
                <w:szCs w:val="20"/>
              </w:rPr>
              <w:t>机构职能</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机构名称、机构职能、机构地址、办公时间、联系方式、监督电话、传真</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pPr>
              <w:spacing w:line="240" w:lineRule="auto"/>
              <w:jc w:val="center"/>
              <w:rPr>
                <w:sz w:val="20"/>
                <w:szCs w:val="20"/>
              </w:rPr>
            </w:pPr>
            <w:r>
              <w:rPr>
                <w:rFonts w:hint="eastAsia"/>
                <w:sz w:val="20"/>
                <w:szCs w:val="20"/>
              </w:rPr>
              <w:t>党政办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sz w:val="20"/>
                <w:szCs w:val="20"/>
              </w:rPr>
              <w:t>领导信息</w:t>
            </w:r>
          </w:p>
        </w:tc>
        <w:tc>
          <w:tcPr>
            <w:tcW w:w="2990" w:type="dxa"/>
            <w:vAlign w:val="center"/>
          </w:tcPr>
          <w:p>
            <w:pPr>
              <w:spacing w:line="240" w:lineRule="auto"/>
              <w:rPr>
                <w:sz w:val="20"/>
                <w:szCs w:val="20"/>
              </w:rPr>
            </w:pPr>
            <w:r>
              <w:rPr>
                <w:sz w:val="20"/>
                <w:szCs w:val="20"/>
              </w:rPr>
              <w:t>领导姓名、照片、简历、职务、分管范围</w:t>
            </w:r>
          </w:p>
        </w:tc>
        <w:tc>
          <w:tcPr>
            <w:tcW w:w="2127" w:type="dxa"/>
            <w:vMerge w:val="continue"/>
            <w:vAlign w:val="center"/>
          </w:tcPr>
          <w:p>
            <w:pPr>
              <w:spacing w:line="240" w:lineRule="auto"/>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sz w:val="20"/>
                <w:szCs w:val="20"/>
              </w:rPr>
              <w:t>内设机构</w:t>
            </w:r>
          </w:p>
        </w:tc>
        <w:tc>
          <w:tcPr>
            <w:tcW w:w="2990" w:type="dxa"/>
            <w:vAlign w:val="center"/>
          </w:tcPr>
          <w:p>
            <w:pPr>
              <w:spacing w:line="240" w:lineRule="auto"/>
              <w:rPr>
                <w:sz w:val="20"/>
                <w:szCs w:val="20"/>
              </w:rPr>
            </w:pPr>
            <w:r>
              <w:rPr>
                <w:sz w:val="20"/>
                <w:szCs w:val="20"/>
              </w:rPr>
              <w:t>内设机构名称、机构负责人、机构职能、公开电话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sz w:val="20"/>
                <w:szCs w:val="20"/>
              </w:rPr>
              <w:t>下属机构</w:t>
            </w:r>
          </w:p>
        </w:tc>
        <w:tc>
          <w:tcPr>
            <w:tcW w:w="2990" w:type="dxa"/>
            <w:vAlign w:val="center"/>
          </w:tcPr>
          <w:p>
            <w:pPr>
              <w:spacing w:line="240" w:lineRule="auto"/>
              <w:rPr>
                <w:sz w:val="20"/>
                <w:szCs w:val="20"/>
              </w:rPr>
            </w:pPr>
            <w:r>
              <w:rPr>
                <w:rFonts w:hint="eastAsia"/>
                <w:sz w:val="20"/>
                <w:szCs w:val="20"/>
              </w:rPr>
              <w:t>下属机构</w:t>
            </w:r>
            <w:r>
              <w:rPr>
                <w:sz w:val="20"/>
                <w:szCs w:val="20"/>
              </w:rPr>
              <w:t>名称、机构负责人、机构职能、公开电话、机构地址、办公时间</w:t>
            </w:r>
          </w:p>
        </w:tc>
        <w:tc>
          <w:tcPr>
            <w:tcW w:w="2127" w:type="dxa"/>
            <w:vMerge w:val="continue"/>
            <w:vAlign w:val="center"/>
          </w:tcPr>
          <w:p>
            <w:pPr>
              <w:spacing w:line="240" w:lineRule="auto"/>
              <w:jc w:val="center"/>
              <w:rPr>
                <w:sz w:val="20"/>
                <w:szCs w:val="20"/>
              </w:rPr>
            </w:pPr>
          </w:p>
        </w:tc>
        <w:tc>
          <w:tcPr>
            <w:tcW w:w="1334" w:type="dxa"/>
            <w:vMerge w:val="continue"/>
            <w:vAlign w:val="center"/>
          </w:tcPr>
          <w:p>
            <w:pPr>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4"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本单位文件</w:t>
            </w:r>
          </w:p>
        </w:tc>
        <w:tc>
          <w:tcPr>
            <w:tcW w:w="2990" w:type="dxa"/>
            <w:vAlign w:val="center"/>
          </w:tcPr>
          <w:p>
            <w:pPr>
              <w:spacing w:line="240" w:lineRule="auto"/>
              <w:rPr>
                <w:sz w:val="20"/>
                <w:szCs w:val="20"/>
              </w:rPr>
            </w:pPr>
            <w:r>
              <w:rPr>
                <w:rFonts w:hint="eastAsia"/>
                <w:color w:val="000000"/>
                <w:sz w:val="20"/>
                <w:szCs w:val="20"/>
              </w:rPr>
              <w:t>本机关制定的除行政规范性文件外的其他政策文件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jc w:val="center"/>
              <w:rPr>
                <w:sz w:val="20"/>
                <w:szCs w:val="20"/>
              </w:rPr>
            </w:pPr>
            <w:r>
              <w:rPr>
                <w:rFonts w:hint="eastAsia"/>
                <w:sz w:val="20"/>
                <w:szCs w:val="20"/>
              </w:rPr>
              <w:t>党政办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7" w:hRule="atLeast"/>
        </w:trPr>
        <w:tc>
          <w:tcPr>
            <w:tcW w:w="1127" w:type="dxa"/>
            <w:vMerge w:val="continue"/>
            <w:tcBorders>
              <w:bottom w:val="single" w:color="auto" w:sz="4" w:space="0"/>
            </w:tcBorders>
            <w:vAlign w:val="center"/>
          </w:tcPr>
          <w:p>
            <w:pPr>
              <w:spacing w:line="240" w:lineRule="auto"/>
              <w:jc w:val="center"/>
              <w:rPr>
                <w:sz w:val="20"/>
                <w:szCs w:val="20"/>
              </w:rPr>
            </w:pPr>
          </w:p>
        </w:tc>
        <w:tc>
          <w:tcPr>
            <w:tcW w:w="1128" w:type="dxa"/>
            <w:tcBorders>
              <w:bottom w:val="single" w:color="auto" w:sz="4" w:space="0"/>
            </w:tcBorders>
            <w:vAlign w:val="center"/>
          </w:tcPr>
          <w:p>
            <w:pPr>
              <w:jc w:val="center"/>
              <w:rPr>
                <w:sz w:val="20"/>
                <w:szCs w:val="20"/>
              </w:rPr>
            </w:pPr>
            <w:r>
              <w:rPr>
                <w:rFonts w:hint="eastAsia"/>
                <w:sz w:val="20"/>
                <w:szCs w:val="20"/>
              </w:rPr>
              <w:t>规范性文件</w:t>
            </w:r>
          </w:p>
        </w:tc>
        <w:tc>
          <w:tcPr>
            <w:tcW w:w="2990" w:type="dxa"/>
            <w:tcBorders>
              <w:bottom w:val="single" w:color="auto" w:sz="4" w:space="0"/>
            </w:tcBorders>
            <w:vAlign w:val="center"/>
          </w:tcPr>
          <w:p>
            <w:pPr>
              <w:rPr>
                <w:sz w:val="20"/>
                <w:szCs w:val="20"/>
              </w:rPr>
            </w:pPr>
            <w:r>
              <w:rPr>
                <w:rFonts w:hint="eastAsia"/>
                <w:sz w:val="20"/>
                <w:szCs w:val="20"/>
              </w:rPr>
              <w:t>本机关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tcBorders>
              <w:bottom w:val="single" w:color="auto" w:sz="4" w:space="0"/>
            </w:tcBorders>
            <w:vAlign w:val="center"/>
          </w:tcPr>
          <w:p>
            <w:pPr>
              <w:spacing w:line="240" w:lineRule="auto"/>
              <w:jc w:val="center"/>
              <w:rPr>
                <w:sz w:val="20"/>
                <w:szCs w:val="20"/>
              </w:rPr>
            </w:pPr>
          </w:p>
        </w:tc>
        <w:tc>
          <w:tcPr>
            <w:tcW w:w="1334" w:type="dxa"/>
            <w:tcBorders>
              <w:bottom w:val="single" w:color="auto" w:sz="4" w:space="0"/>
            </w:tcBorders>
            <w:vAlign w:val="center"/>
          </w:tcPr>
          <w:p>
            <w:pPr>
              <w:spacing w:line="240" w:lineRule="auto"/>
              <w:jc w:val="center"/>
              <w:rPr>
                <w:sz w:val="20"/>
                <w:szCs w:val="20"/>
              </w:rPr>
            </w:pPr>
            <w:r>
              <w:rPr>
                <w:rFonts w:hint="eastAsia"/>
                <w:sz w:val="20"/>
                <w:szCs w:val="20"/>
              </w:rPr>
              <w:t>党政办</w:t>
            </w:r>
          </w:p>
        </w:tc>
        <w:tc>
          <w:tcPr>
            <w:tcW w:w="1275" w:type="dxa"/>
            <w:vMerge w:val="continue"/>
            <w:tcBorders>
              <w:bottom w:val="single" w:color="auto" w:sz="4" w:space="0"/>
            </w:tcBorders>
            <w:vAlign w:val="center"/>
          </w:tcPr>
          <w:p>
            <w:pPr>
              <w:spacing w:line="240" w:lineRule="auto"/>
              <w:jc w:val="center"/>
              <w:rPr>
                <w:sz w:val="20"/>
                <w:szCs w:val="20"/>
              </w:rPr>
            </w:pPr>
          </w:p>
        </w:tc>
        <w:tc>
          <w:tcPr>
            <w:tcW w:w="3118" w:type="dxa"/>
            <w:vMerge w:val="restart"/>
            <w:tcBorders>
              <w:bottom w:val="single" w:color="auto" w:sz="4" w:space="0"/>
            </w:tcBorders>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continue"/>
            <w:tcBorders>
              <w:bottom w:val="single" w:color="auto" w:sz="4" w:space="0"/>
            </w:tcBorders>
            <w:vAlign w:val="center"/>
          </w:tcPr>
          <w:p>
            <w:pPr>
              <w:spacing w:line="240" w:lineRule="auto"/>
              <w:jc w:val="center"/>
              <w:rPr>
                <w:sz w:val="20"/>
                <w:szCs w:val="20"/>
              </w:rPr>
            </w:pPr>
          </w:p>
        </w:tc>
        <w:tc>
          <w:tcPr>
            <w:tcW w:w="1216" w:type="dxa"/>
            <w:vMerge w:val="continue"/>
            <w:tcBorders>
              <w:bottom w:val="single" w:color="auto" w:sz="4" w:space="0"/>
            </w:tcBorders>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sz w:val="20"/>
                <w:szCs w:val="20"/>
              </w:rPr>
              <w:t>备案清理</w:t>
            </w:r>
          </w:p>
        </w:tc>
        <w:tc>
          <w:tcPr>
            <w:tcW w:w="2990" w:type="dxa"/>
            <w:vAlign w:val="center"/>
          </w:tcPr>
          <w:p>
            <w:pPr>
              <w:spacing w:line="240" w:lineRule="auto"/>
              <w:rPr>
                <w:sz w:val="20"/>
                <w:szCs w:val="20"/>
              </w:rPr>
            </w:pPr>
            <w:r>
              <w:rPr>
                <w:sz w:val="20"/>
                <w:szCs w:val="20"/>
              </w:rPr>
              <w:t>本机关</w:t>
            </w:r>
            <w:r>
              <w:rPr>
                <w:rFonts w:hint="eastAsia"/>
                <w:color w:val="000000"/>
                <w:sz w:val="20"/>
                <w:szCs w:val="20"/>
              </w:rPr>
              <w:t>行政规范性文件备案、清理信息</w:t>
            </w:r>
          </w:p>
        </w:tc>
        <w:tc>
          <w:tcPr>
            <w:tcW w:w="2127" w:type="dxa"/>
            <w:vMerge w:val="continue"/>
            <w:vAlign w:val="center"/>
          </w:tcPr>
          <w:p>
            <w:pPr>
              <w:spacing w:line="240" w:lineRule="auto"/>
              <w:jc w:val="center"/>
              <w:rPr>
                <w:sz w:val="20"/>
                <w:szCs w:val="20"/>
              </w:rPr>
            </w:pPr>
          </w:p>
        </w:tc>
        <w:tc>
          <w:tcPr>
            <w:tcW w:w="1334" w:type="dxa"/>
            <w:vAlign w:val="center"/>
          </w:tcPr>
          <w:p>
            <w:pPr>
              <w:jc w:val="center"/>
              <w:rPr>
                <w:rFonts w:hint="eastAsia"/>
                <w:sz w:val="20"/>
                <w:szCs w:val="20"/>
              </w:rPr>
            </w:pPr>
            <w:r>
              <w:rPr>
                <w:rFonts w:hint="eastAsia"/>
                <w:sz w:val="20"/>
                <w:szCs w:val="20"/>
              </w:rPr>
              <w:t>党政办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rPr>
                <w:rFonts w:ascii="Segoe UI Symbol" w:hAnsi="Segoe UI Symbol" w:cs="Segoe UI Symbol"/>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2" w:hRule="atLeast"/>
        </w:trPr>
        <w:tc>
          <w:tcPr>
            <w:tcW w:w="1127" w:type="dxa"/>
            <w:vAlign w:val="center"/>
          </w:tcPr>
          <w:p>
            <w:pPr>
              <w:spacing w:line="240" w:lineRule="auto"/>
              <w:jc w:val="center"/>
              <w:rPr>
                <w:sz w:val="20"/>
                <w:szCs w:val="20"/>
              </w:rPr>
            </w:pPr>
            <w:r>
              <w:rPr>
                <w:sz w:val="20"/>
                <w:szCs w:val="20"/>
              </w:rPr>
              <w:t>政策解读</w:t>
            </w:r>
          </w:p>
        </w:tc>
        <w:tc>
          <w:tcPr>
            <w:tcW w:w="1128" w:type="dxa"/>
            <w:vAlign w:val="center"/>
          </w:tcPr>
          <w:p>
            <w:pPr>
              <w:spacing w:line="240" w:lineRule="auto"/>
              <w:jc w:val="center"/>
              <w:rPr>
                <w:sz w:val="20"/>
                <w:szCs w:val="20"/>
              </w:rPr>
            </w:pPr>
            <w:r>
              <w:rPr>
                <w:sz w:val="20"/>
                <w:szCs w:val="20"/>
              </w:rPr>
              <w:t>文件解读</w:t>
            </w:r>
          </w:p>
        </w:tc>
        <w:tc>
          <w:tcPr>
            <w:tcW w:w="2990" w:type="dxa"/>
            <w:vAlign w:val="center"/>
          </w:tcPr>
          <w:p>
            <w:pPr>
              <w:spacing w:line="240" w:lineRule="auto"/>
              <w:rPr>
                <w:sz w:val="20"/>
                <w:szCs w:val="20"/>
              </w:rPr>
            </w:pPr>
            <w:r>
              <w:rPr>
                <w:rFonts w:hint="eastAsia"/>
                <w:color w:val="000000"/>
                <w:sz w:val="20"/>
                <w:szCs w:val="20"/>
              </w:rPr>
              <w:t>本机关制定的行政规范性文件的政策解读</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jc w:val="center"/>
            </w:pPr>
            <w:r>
              <w:rPr>
                <w:rFonts w:hint="eastAsia"/>
                <w:sz w:val="20"/>
                <w:szCs w:val="20"/>
              </w:rPr>
              <w:t>党政办</w:t>
            </w:r>
          </w:p>
        </w:tc>
        <w:tc>
          <w:tcPr>
            <w:tcW w:w="1275" w:type="dxa"/>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2" w:hRule="atLeast"/>
        </w:trPr>
        <w:tc>
          <w:tcPr>
            <w:tcW w:w="1127" w:type="dxa"/>
            <w:vAlign w:val="center"/>
          </w:tcPr>
          <w:p>
            <w:pPr>
              <w:spacing w:line="240" w:lineRule="auto"/>
              <w:jc w:val="center"/>
              <w:rPr>
                <w:sz w:val="20"/>
                <w:szCs w:val="20"/>
              </w:rPr>
            </w:pPr>
            <w:r>
              <w:rPr>
                <w:rFonts w:hint="eastAsia"/>
                <w:sz w:val="20"/>
                <w:szCs w:val="20"/>
              </w:rPr>
              <w:t>通知公告</w:t>
            </w:r>
          </w:p>
        </w:tc>
        <w:tc>
          <w:tcPr>
            <w:tcW w:w="1128" w:type="dxa"/>
            <w:vAlign w:val="center"/>
          </w:tcPr>
          <w:p>
            <w:pPr>
              <w:spacing w:line="240" w:lineRule="auto"/>
              <w:jc w:val="center"/>
              <w:rPr>
                <w:sz w:val="20"/>
                <w:szCs w:val="20"/>
              </w:rPr>
            </w:pPr>
            <w:r>
              <w:rPr>
                <w:rFonts w:hint="eastAsia"/>
                <w:sz w:val="20"/>
                <w:szCs w:val="20"/>
              </w:rPr>
              <w:t>通知公告</w:t>
            </w:r>
          </w:p>
        </w:tc>
        <w:tc>
          <w:tcPr>
            <w:tcW w:w="2990" w:type="dxa"/>
            <w:vAlign w:val="center"/>
          </w:tcPr>
          <w:p>
            <w:pPr>
              <w:spacing w:line="240" w:lineRule="auto"/>
              <w:rPr>
                <w:sz w:val="20"/>
                <w:szCs w:val="20"/>
              </w:rPr>
            </w:pPr>
            <w:r>
              <w:rPr>
                <w:rFonts w:hint="eastAsia"/>
                <w:sz w:val="20"/>
                <w:szCs w:val="20"/>
              </w:rPr>
              <w:t>镇所属业务部门需对外公告公示的关于群众生产、生活的各类事项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jc w:val="center"/>
              <w:rPr>
                <w:rFonts w:hint="eastAsia"/>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sz w:val="20"/>
                <w:szCs w:val="20"/>
              </w:rPr>
              <w:t>政务动态</w:t>
            </w:r>
          </w:p>
        </w:tc>
        <w:tc>
          <w:tcPr>
            <w:tcW w:w="2990" w:type="dxa"/>
            <w:vAlign w:val="center"/>
          </w:tcPr>
          <w:p>
            <w:pPr>
              <w:spacing w:line="240" w:lineRule="auto"/>
              <w:rPr>
                <w:sz w:val="20"/>
                <w:szCs w:val="20"/>
              </w:rPr>
            </w:pPr>
            <w:r>
              <w:rPr>
                <w:rFonts w:hint="eastAsia"/>
                <w:sz w:val="20"/>
                <w:szCs w:val="20"/>
              </w:rPr>
              <w:t>本镇在经济、政治、文化等各个领域进行和开展的各项工作</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1127" w:type="dxa"/>
            <w:vAlign w:val="center"/>
          </w:tcPr>
          <w:p>
            <w:pPr>
              <w:spacing w:line="240" w:lineRule="auto"/>
              <w:jc w:val="center"/>
              <w:rPr>
                <w:sz w:val="20"/>
                <w:szCs w:val="20"/>
              </w:rPr>
            </w:pPr>
            <w:r>
              <w:rPr>
                <w:sz w:val="20"/>
                <w:szCs w:val="20"/>
              </w:rPr>
              <w:t>规划计划</w:t>
            </w:r>
          </w:p>
        </w:tc>
        <w:tc>
          <w:tcPr>
            <w:tcW w:w="1128" w:type="dxa"/>
            <w:vAlign w:val="center"/>
          </w:tcPr>
          <w:p>
            <w:pPr>
              <w:spacing w:line="240" w:lineRule="auto"/>
              <w:jc w:val="center"/>
              <w:rPr>
                <w:sz w:val="20"/>
                <w:szCs w:val="20"/>
              </w:rPr>
            </w:pPr>
            <w:r>
              <w:rPr>
                <w:rFonts w:hint="eastAsia"/>
                <w:color w:val="333333"/>
                <w:sz w:val="20"/>
                <w:szCs w:val="20"/>
              </w:rPr>
              <w:t>计划总结</w:t>
            </w:r>
          </w:p>
        </w:tc>
        <w:tc>
          <w:tcPr>
            <w:tcW w:w="2990" w:type="dxa"/>
            <w:vAlign w:val="center"/>
          </w:tcPr>
          <w:p>
            <w:pPr>
              <w:spacing w:line="240" w:lineRule="auto"/>
              <w:rPr>
                <w:sz w:val="20"/>
                <w:szCs w:val="20"/>
              </w:rPr>
            </w:pPr>
            <w:r>
              <w:rPr>
                <w:rFonts w:hint="eastAsia"/>
                <w:color w:val="333333"/>
                <w:sz w:val="20"/>
                <w:szCs w:val="20"/>
              </w:rPr>
              <w:t>年度工作要点、总结</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trPr>
        <w:tc>
          <w:tcPr>
            <w:tcW w:w="1127" w:type="dxa"/>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trPr>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kern w:val="0"/>
                <w:sz w:val="20"/>
                <w:szCs w:val="20"/>
              </w:rPr>
              <w:t>《中华人民共和国政府信息公开条例》（国务院令第</w:t>
            </w:r>
            <w:r>
              <w:rPr>
                <w:kern w:val="0"/>
                <w:sz w:val="20"/>
                <w:szCs w:val="20"/>
              </w:rPr>
              <w:t>711</w:t>
            </w:r>
            <w:r>
              <w:rPr>
                <w:rFonts w:hint="eastAsia"/>
                <w:kern w:val="0"/>
                <w:sz w:val="20"/>
                <w:szCs w:val="20"/>
              </w:rPr>
              <w:t>号）、中共宁波市委办公厅宁波市人民政府办公厅《关于进一步推进预决算公开工作若干规定》的通知（甬党办〔</w:t>
            </w:r>
            <w:r>
              <w:rPr>
                <w:kern w:val="0"/>
                <w:sz w:val="20"/>
                <w:szCs w:val="20"/>
              </w:rPr>
              <w:t>201</w:t>
            </w:r>
            <w:r>
              <w:rPr>
                <w:rFonts w:hint="eastAsia"/>
                <w:kern w:val="0"/>
                <w:sz w:val="20"/>
                <w:szCs w:val="20"/>
              </w:rPr>
              <w:t>6〕102号）、财政部关于印发《地方预决算公开操作规程》的通知（财预〔</w:t>
            </w:r>
            <w:r>
              <w:rPr>
                <w:kern w:val="0"/>
                <w:sz w:val="20"/>
                <w:szCs w:val="20"/>
              </w:rPr>
              <w:t>201</w:t>
            </w:r>
            <w:r>
              <w:rPr>
                <w:rFonts w:hint="eastAsia"/>
                <w:kern w:val="0"/>
                <w:sz w:val="20"/>
                <w:szCs w:val="20"/>
              </w:rPr>
              <w:t>6〕143号）</w:t>
            </w:r>
          </w:p>
        </w:tc>
        <w:tc>
          <w:tcPr>
            <w:tcW w:w="1334" w:type="dxa"/>
            <w:vAlign w:val="center"/>
          </w:tcPr>
          <w:p>
            <w:pPr>
              <w:spacing w:line="240" w:lineRule="auto"/>
              <w:jc w:val="center"/>
              <w:rPr>
                <w:sz w:val="20"/>
                <w:szCs w:val="20"/>
              </w:rPr>
            </w:pPr>
            <w:r>
              <w:rPr>
                <w:rFonts w:hint="eastAsia"/>
                <w:sz w:val="20"/>
                <w:szCs w:val="20"/>
              </w:rPr>
              <w:t>财政办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1127" w:type="dxa"/>
            <w:vMerge w:val="restart"/>
            <w:vAlign w:val="center"/>
          </w:tcPr>
          <w:p>
            <w:pPr>
              <w:jc w:val="center"/>
              <w:rPr>
                <w:sz w:val="20"/>
                <w:szCs w:val="20"/>
              </w:rPr>
            </w:pPr>
            <w:r>
              <w:rPr>
                <w:sz w:val="20"/>
                <w:szCs w:val="20"/>
              </w:rPr>
              <w:t>建议提案</w:t>
            </w:r>
          </w:p>
        </w:tc>
        <w:tc>
          <w:tcPr>
            <w:tcW w:w="1128" w:type="dxa"/>
            <w:vAlign w:val="center"/>
          </w:tcPr>
          <w:p>
            <w:pPr>
              <w:spacing w:line="240" w:lineRule="auto"/>
              <w:jc w:val="center"/>
              <w:rPr>
                <w:sz w:val="20"/>
                <w:szCs w:val="20"/>
              </w:rPr>
            </w:pPr>
            <w:r>
              <w:rPr>
                <w:sz w:val="20"/>
                <w:szCs w:val="20"/>
              </w:rPr>
              <w:t>人大代表建议</w:t>
            </w:r>
          </w:p>
        </w:tc>
        <w:tc>
          <w:tcPr>
            <w:tcW w:w="2990" w:type="dxa"/>
            <w:vAlign w:val="center"/>
          </w:tcPr>
          <w:p>
            <w:pPr>
              <w:spacing w:line="240" w:lineRule="auto"/>
              <w:rPr>
                <w:sz w:val="20"/>
                <w:szCs w:val="20"/>
              </w:rPr>
            </w:pPr>
            <w:r>
              <w:rPr>
                <w:rFonts w:hint="eastAsia"/>
                <w:sz w:val="20"/>
                <w:szCs w:val="20"/>
              </w:rPr>
              <w:t>由本单位答复的、应当公开的人大代表建议复文</w:t>
            </w:r>
          </w:p>
        </w:tc>
        <w:tc>
          <w:tcPr>
            <w:tcW w:w="2127" w:type="dxa"/>
            <w:vMerge w:val="restart"/>
            <w:vAlign w:val="center"/>
          </w:tcPr>
          <w:p>
            <w:pPr>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sz w:val="20"/>
                <w:szCs w:val="20"/>
              </w:rPr>
              <w:t>党政办</w:t>
            </w:r>
          </w:p>
        </w:tc>
        <w:tc>
          <w:tcPr>
            <w:tcW w:w="1275" w:type="dxa"/>
            <w:vMerge w:val="restart"/>
            <w:vAlign w:val="center"/>
          </w:tcPr>
          <w:p>
            <w:pPr>
              <w:jc w:val="center"/>
              <w:rPr>
                <w:sz w:val="20"/>
                <w:szCs w:val="20"/>
              </w:rPr>
            </w:pPr>
            <w:r>
              <w:rPr>
                <w:rFonts w:hint="eastAsia"/>
                <w:sz w:val="20"/>
                <w:szCs w:val="20"/>
              </w:rPr>
              <w:t>1个月内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rFonts w:ascii="Segoe UI Symbol" w:hAnsi="Segoe UI Symbol" w:cs="Segoe UI Symbol"/>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sz w:val="20"/>
                <w:szCs w:val="20"/>
              </w:rPr>
              <w:t>政协委员提案</w:t>
            </w:r>
          </w:p>
        </w:tc>
        <w:tc>
          <w:tcPr>
            <w:tcW w:w="2990" w:type="dxa"/>
            <w:vAlign w:val="center"/>
          </w:tcPr>
          <w:p>
            <w:pPr>
              <w:spacing w:line="240" w:lineRule="auto"/>
              <w:rPr>
                <w:sz w:val="20"/>
                <w:szCs w:val="20"/>
              </w:rPr>
            </w:pPr>
            <w:r>
              <w:rPr>
                <w:rFonts w:hint="eastAsia"/>
                <w:sz w:val="20"/>
                <w:szCs w:val="20"/>
              </w:rPr>
              <w:t>由本单位答复的、应当公开的政协委员提案复文</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党政办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rPr>
                <w:rFonts w:ascii="Segoe UI Symbol" w:hAnsi="Segoe UI Symbol" w:cs="Segoe UI Symbol"/>
                <w:sz w:val="20"/>
                <w:szCs w:val="20"/>
              </w:rPr>
            </w:pPr>
          </w:p>
        </w:tc>
        <w:tc>
          <w:tcPr>
            <w:tcW w:w="1293" w:type="dxa"/>
            <w:vMerge w:val="continue"/>
            <w:vAlign w:val="center"/>
          </w:tcPr>
          <w:p>
            <w:pPr>
              <w:spacing w:line="240" w:lineRule="auto"/>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4" w:hRule="atLeast"/>
        </w:trPr>
        <w:tc>
          <w:tcPr>
            <w:tcW w:w="1127" w:type="dxa"/>
            <w:vAlign w:val="center"/>
          </w:tcPr>
          <w:p>
            <w:pPr>
              <w:spacing w:line="240" w:lineRule="auto"/>
              <w:jc w:val="center"/>
              <w:rPr>
                <w:sz w:val="20"/>
                <w:szCs w:val="20"/>
              </w:rPr>
            </w:pPr>
            <w:r>
              <w:rPr>
                <w:sz w:val="20"/>
                <w:szCs w:val="20"/>
              </w:rPr>
              <w:t>重大民生信息</w:t>
            </w:r>
          </w:p>
        </w:tc>
        <w:tc>
          <w:tcPr>
            <w:tcW w:w="1128" w:type="dxa"/>
            <w:vAlign w:val="center"/>
          </w:tcPr>
          <w:p>
            <w:pPr>
              <w:spacing w:line="240" w:lineRule="auto"/>
              <w:jc w:val="center"/>
              <w:rPr>
                <w:sz w:val="20"/>
                <w:szCs w:val="20"/>
              </w:rPr>
            </w:pPr>
            <w:r>
              <w:rPr>
                <w:sz w:val="20"/>
                <w:szCs w:val="20"/>
              </w:rPr>
              <w:t>养老和社会救助</w:t>
            </w:r>
          </w:p>
        </w:tc>
        <w:tc>
          <w:tcPr>
            <w:tcW w:w="2990" w:type="dxa"/>
            <w:vAlign w:val="center"/>
          </w:tcPr>
          <w:p>
            <w:pPr>
              <w:spacing w:line="240" w:lineRule="auto"/>
              <w:rPr>
                <w:rFonts w:hint="eastAsia"/>
                <w:sz w:val="20"/>
                <w:szCs w:val="20"/>
              </w:rPr>
            </w:pPr>
            <w:r>
              <w:rPr>
                <w:rFonts w:hint="eastAsia"/>
                <w:sz w:val="20"/>
                <w:szCs w:val="20"/>
              </w:rPr>
              <w:t>本镇</w:t>
            </w:r>
            <w:r>
              <w:rPr>
                <w:sz w:val="20"/>
                <w:szCs w:val="20"/>
              </w:rPr>
              <w:t>养老和社会救助信息</w:t>
            </w:r>
          </w:p>
        </w:tc>
        <w:tc>
          <w:tcPr>
            <w:tcW w:w="2127" w:type="dxa"/>
            <w:vAlign w:val="center"/>
          </w:tcPr>
          <w:p>
            <w:pPr>
              <w:jc w:val="left"/>
              <w:rPr>
                <w:rFonts w:hint="eastAsia"/>
                <w:color w:val="000000"/>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rFonts w:hint="eastAsia"/>
                <w:sz w:val="20"/>
                <w:szCs w:val="20"/>
              </w:rPr>
            </w:pPr>
            <w:r>
              <w:rPr>
                <w:rFonts w:hint="eastAsia"/>
                <w:sz w:val="20"/>
                <w:szCs w:val="20"/>
              </w:rPr>
              <w:t>社会事务办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1127" w:type="dxa"/>
            <w:vAlign w:val="center"/>
          </w:tcPr>
          <w:p>
            <w:pPr>
              <w:spacing w:line="240" w:lineRule="auto"/>
              <w:jc w:val="center"/>
              <w:rPr>
                <w:sz w:val="20"/>
                <w:szCs w:val="20"/>
              </w:rPr>
            </w:pPr>
            <w:r>
              <w:rPr>
                <w:rFonts w:hint="eastAsia"/>
                <w:color w:val="000000"/>
                <w:sz w:val="20"/>
                <w:szCs w:val="20"/>
              </w:rPr>
              <w:t>政府信息公开工作年报</w:t>
            </w:r>
          </w:p>
        </w:tc>
        <w:tc>
          <w:tcPr>
            <w:tcW w:w="1128" w:type="dxa"/>
            <w:vAlign w:val="center"/>
          </w:tcPr>
          <w:p>
            <w:pPr>
              <w:spacing w:line="240" w:lineRule="auto"/>
              <w:jc w:val="center"/>
              <w:rPr>
                <w:sz w:val="20"/>
                <w:szCs w:val="20"/>
              </w:rPr>
            </w:pPr>
            <w:r>
              <w:rPr>
                <w:rFonts w:hint="eastAsia"/>
                <w:color w:val="000000"/>
                <w:sz w:val="20"/>
                <w:szCs w:val="20"/>
              </w:rPr>
              <w:t>政府信息公开工作年报</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每年1月31日前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1127" w:type="dxa"/>
            <w:vAlign w:val="center"/>
          </w:tcPr>
          <w:p>
            <w:pPr>
              <w:spacing w:line="240" w:lineRule="auto"/>
              <w:jc w:val="center"/>
              <w:rPr>
                <w:color w:val="000000"/>
                <w:sz w:val="20"/>
                <w:szCs w:val="20"/>
              </w:rPr>
            </w:pPr>
            <w:r>
              <w:rPr>
                <w:color w:val="000000"/>
                <w:sz w:val="20"/>
                <w:szCs w:val="20"/>
              </w:rPr>
              <w:t>法治政府建设年度报告</w:t>
            </w:r>
          </w:p>
        </w:tc>
        <w:tc>
          <w:tcPr>
            <w:tcW w:w="1128" w:type="dxa"/>
            <w:vAlign w:val="center"/>
          </w:tcPr>
          <w:p>
            <w:pPr>
              <w:spacing w:line="240" w:lineRule="auto"/>
              <w:jc w:val="center"/>
              <w:rPr>
                <w:color w:val="000000"/>
                <w:sz w:val="20"/>
                <w:szCs w:val="20"/>
              </w:rPr>
            </w:pPr>
            <w:r>
              <w:rPr>
                <w:color w:val="000000"/>
                <w:sz w:val="20"/>
                <w:szCs w:val="20"/>
              </w:rPr>
              <w:t>法治政府建设年度报告</w:t>
            </w:r>
          </w:p>
        </w:tc>
        <w:tc>
          <w:tcPr>
            <w:tcW w:w="2990" w:type="dxa"/>
            <w:vAlign w:val="center"/>
          </w:tcPr>
          <w:p>
            <w:pPr>
              <w:spacing w:line="240" w:lineRule="auto"/>
              <w:rPr>
                <w:color w:val="000000"/>
                <w:sz w:val="20"/>
                <w:szCs w:val="20"/>
              </w:rPr>
            </w:pPr>
            <w:r>
              <w:rPr>
                <w:rFonts w:hint="eastAsia"/>
                <w:color w:val="000000"/>
                <w:sz w:val="20"/>
                <w:szCs w:val="20"/>
              </w:rPr>
              <w:t>各年度本机关</w:t>
            </w:r>
            <w:r>
              <w:rPr>
                <w:color w:val="000000"/>
                <w:sz w:val="20"/>
                <w:szCs w:val="20"/>
              </w:rPr>
              <w:t>法治政府建设年度报告</w:t>
            </w:r>
          </w:p>
        </w:tc>
        <w:tc>
          <w:tcPr>
            <w:tcW w:w="2127" w:type="dxa"/>
            <w:vAlign w:val="center"/>
          </w:tcPr>
          <w:p>
            <w:pPr>
              <w:spacing w:line="240" w:lineRule="auto"/>
              <w:jc w:val="center"/>
              <w:rPr>
                <w:color w:val="000000"/>
                <w:sz w:val="20"/>
                <w:szCs w:val="20"/>
              </w:rPr>
            </w:pPr>
            <w:r>
              <w:rPr>
                <w:rFonts w:hint="eastAsia"/>
                <w:kern w:val="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color w:val="000000"/>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3" w:hRule="atLeast"/>
        </w:trPr>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党政办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p>
          <w:p>
            <w:pPr>
              <w:spacing w:line="240" w:lineRule="auto"/>
              <w:jc w:val="center"/>
              <w:rPr>
                <w:sz w:val="20"/>
                <w:szCs w:val="20"/>
              </w:rPr>
            </w:pPr>
            <w:r>
              <w:rPr>
                <w:rFonts w:hint="eastAsia"/>
                <w:sz w:val="20"/>
                <w:szCs w:val="20"/>
              </w:rPr>
              <w:t>0574-</w:t>
            </w:r>
          </w:p>
          <w:p>
            <w:pPr>
              <w:spacing w:line="240" w:lineRule="auto"/>
              <w:jc w:val="center"/>
              <w:rPr>
                <w:sz w:val="20"/>
                <w:szCs w:val="20"/>
              </w:rPr>
            </w:pPr>
            <w:r>
              <w:rPr>
                <w:rFonts w:hint="eastAsia"/>
                <w:sz w:val="20"/>
                <w:szCs w:val="20"/>
              </w:rPr>
              <w:t>63267071</w:t>
            </w:r>
          </w:p>
          <w:p>
            <w:pPr>
              <w:jc w:val="center"/>
              <w:rPr>
                <w:sz w:val="20"/>
                <w:szCs w:val="20"/>
              </w:rPr>
            </w:pPr>
            <w:r>
              <w:rPr>
                <w:rFonts w:hint="eastAsia"/>
                <w:sz w:val="20"/>
                <w:szCs w:val="20"/>
              </w:rPr>
              <w:t>监督举报电话：0574-</w:t>
            </w:r>
          </w:p>
          <w:p>
            <w:pPr>
              <w:spacing w:line="240" w:lineRule="auto"/>
              <w:jc w:val="center"/>
              <w:rPr>
                <w:sz w:val="20"/>
                <w:szCs w:val="20"/>
              </w:rPr>
            </w:pPr>
            <w:r>
              <w:rPr>
                <w:rFonts w:hint="eastAsia"/>
                <w:sz w:val="20"/>
                <w:szCs w:val="20"/>
              </w:rPr>
              <w:t>12345</w:t>
            </w:r>
          </w:p>
        </w:tc>
      </w:tr>
    </w:tbl>
    <w:p/>
    <w:sectPr>
      <w:pgSz w:w="16838" w:h="11906" w:orient="landscape"/>
      <w:pgMar w:top="1418" w:right="1440" w:bottom="1134"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2D"/>
    <w:rsid w:val="008B662D"/>
    <w:rsid w:val="00AA70B5"/>
    <w:rsid w:val="5966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个人用户</Company>
  <Pages>8</Pages>
  <Words>3736</Words>
  <Characters>4072</Characters>
  <Lines>37</Lines>
  <Paragraphs>10</Paragraphs>
  <TotalTime>5</TotalTime>
  <ScaleCrop>false</ScaleCrop>
  <LinksUpToDate>false</LinksUpToDate>
  <CharactersWithSpaces>4804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2021-05-21T02:46:00Z</dcterms:created>
  <dc:creator>微软中国</dc:creator>
  <cp:lastModifiedBy>高扬</cp:lastModifiedBy>
  <dcterms:modified xsi:type="dcterms:W3CDTF">2022-07-15T03:07:20Z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7D420679174443EF99F3079285D3BAD8</vt:lpwstr>
  </property>
</Properties>
</file>