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BC" w:rsidRPr="004F4071" w:rsidRDefault="002B7BBC" w:rsidP="002B7BBC">
      <w:pPr>
        <w:jc w:val="center"/>
        <w:rPr>
          <w:rFonts w:ascii="黑体" w:eastAsia="黑体" w:hAnsi="黑体" w:cs="微软雅黑"/>
          <w:sz w:val="32"/>
          <w:szCs w:val="32"/>
        </w:rPr>
      </w:pPr>
      <w:r w:rsidRPr="004F4071">
        <w:rPr>
          <w:rFonts w:ascii="黑体" w:eastAsia="黑体" w:hAnsi="黑体" w:cs="微软雅黑" w:hint="eastAsia"/>
          <w:sz w:val="32"/>
          <w:szCs w:val="32"/>
        </w:rPr>
        <w:t>慈溪市 2019年度农业和社会发展类科技计划项目表</w:t>
      </w:r>
    </w:p>
    <w:tbl>
      <w:tblPr>
        <w:tblW w:w="12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6"/>
        <w:gridCol w:w="3953"/>
        <w:gridCol w:w="2910"/>
        <w:gridCol w:w="1035"/>
        <w:gridCol w:w="1800"/>
        <w:gridCol w:w="676"/>
        <w:gridCol w:w="676"/>
        <w:gridCol w:w="14"/>
      </w:tblGrid>
      <w:tr w:rsidR="002B7BBC" w:rsidRPr="004F4071" w:rsidTr="00090A0A">
        <w:trPr>
          <w:gridAfter w:val="1"/>
          <w:wAfter w:w="14" w:type="dxa"/>
          <w:trHeight w:val="396"/>
          <w:jc w:val="center"/>
        </w:trPr>
        <w:tc>
          <w:tcPr>
            <w:tcW w:w="1316" w:type="dxa"/>
            <w:vMerge w:val="restart"/>
            <w:vAlign w:val="center"/>
          </w:tcPr>
          <w:p w:rsidR="002B7BBC" w:rsidRPr="004F4071" w:rsidRDefault="002B7BBC" w:rsidP="00857157">
            <w:pPr>
              <w:jc w:val="center"/>
              <w:rPr>
                <w:rFonts w:ascii="宋体" w:hAnsi="宋体"/>
                <w:b/>
              </w:rPr>
            </w:pPr>
            <w:r w:rsidRPr="004F4071">
              <w:rPr>
                <w:rFonts w:ascii="宋体" w:hAnsi="宋体" w:hint="eastAsia"/>
                <w:b/>
              </w:rPr>
              <w:t>序号</w:t>
            </w:r>
          </w:p>
        </w:tc>
        <w:tc>
          <w:tcPr>
            <w:tcW w:w="3953" w:type="dxa"/>
            <w:vMerge w:val="restart"/>
            <w:vAlign w:val="center"/>
          </w:tcPr>
          <w:p w:rsidR="002B7BBC" w:rsidRPr="004F4071" w:rsidRDefault="002B7BBC" w:rsidP="002B7BBC">
            <w:pPr>
              <w:ind w:firstLineChars="50" w:firstLine="110"/>
              <w:jc w:val="center"/>
              <w:rPr>
                <w:rFonts w:ascii="宋体" w:hAnsi="宋体"/>
                <w:b/>
              </w:rPr>
            </w:pPr>
            <w:r w:rsidRPr="004F4071">
              <w:rPr>
                <w:rFonts w:ascii="宋体" w:hAnsi="宋体" w:hint="eastAsia"/>
                <w:b/>
              </w:rPr>
              <w:t>项目名称</w:t>
            </w:r>
          </w:p>
        </w:tc>
        <w:tc>
          <w:tcPr>
            <w:tcW w:w="2910" w:type="dxa"/>
            <w:vMerge w:val="restart"/>
            <w:vAlign w:val="center"/>
          </w:tcPr>
          <w:p w:rsidR="002B7BBC" w:rsidRPr="004F4071" w:rsidRDefault="002B7BBC" w:rsidP="00857157">
            <w:pPr>
              <w:jc w:val="center"/>
              <w:rPr>
                <w:rFonts w:ascii="宋体" w:hAnsi="宋体"/>
                <w:b/>
              </w:rPr>
            </w:pPr>
            <w:r w:rsidRPr="004F4071">
              <w:rPr>
                <w:rFonts w:ascii="宋体" w:hAnsi="宋体" w:hint="eastAsia"/>
                <w:b/>
              </w:rPr>
              <w:t>承担单位</w:t>
            </w:r>
          </w:p>
        </w:tc>
        <w:tc>
          <w:tcPr>
            <w:tcW w:w="1035" w:type="dxa"/>
            <w:vMerge w:val="restart"/>
            <w:vAlign w:val="center"/>
          </w:tcPr>
          <w:p w:rsidR="002B7BBC" w:rsidRPr="004F4071" w:rsidRDefault="002B7BBC" w:rsidP="00857157">
            <w:pPr>
              <w:jc w:val="center"/>
              <w:rPr>
                <w:rFonts w:ascii="宋体" w:hAnsi="宋体"/>
                <w:b/>
              </w:rPr>
            </w:pPr>
            <w:r w:rsidRPr="004F4071">
              <w:rPr>
                <w:rFonts w:ascii="宋体" w:hAnsi="宋体" w:hint="eastAsia"/>
                <w:b/>
              </w:rPr>
              <w:t>前三位负责人</w:t>
            </w:r>
          </w:p>
        </w:tc>
        <w:tc>
          <w:tcPr>
            <w:tcW w:w="1800" w:type="dxa"/>
            <w:vMerge w:val="restart"/>
            <w:vAlign w:val="center"/>
          </w:tcPr>
          <w:p w:rsidR="002B7BBC" w:rsidRPr="004F4071" w:rsidRDefault="002B7BBC" w:rsidP="002B7BBC">
            <w:pPr>
              <w:ind w:firstLineChars="50" w:firstLine="110"/>
              <w:jc w:val="center"/>
              <w:rPr>
                <w:rFonts w:ascii="宋体" w:hAnsi="宋体"/>
                <w:b/>
              </w:rPr>
            </w:pPr>
            <w:r w:rsidRPr="004F4071">
              <w:rPr>
                <w:rFonts w:ascii="宋体" w:hAnsi="宋体" w:hint="eastAsia"/>
                <w:b/>
              </w:rPr>
              <w:t>实施期限</w:t>
            </w:r>
          </w:p>
        </w:tc>
        <w:tc>
          <w:tcPr>
            <w:tcW w:w="1352" w:type="dxa"/>
            <w:gridSpan w:val="2"/>
            <w:vAlign w:val="center"/>
          </w:tcPr>
          <w:p w:rsidR="002B7BBC" w:rsidRPr="004F4071" w:rsidRDefault="002B7BBC" w:rsidP="00857157">
            <w:pPr>
              <w:jc w:val="center"/>
              <w:rPr>
                <w:rFonts w:ascii="宋体" w:hAnsi="宋体"/>
                <w:b/>
              </w:rPr>
            </w:pPr>
            <w:r w:rsidRPr="004F4071">
              <w:rPr>
                <w:rFonts w:ascii="宋体" w:hAnsi="宋体" w:hint="eastAsia"/>
                <w:b/>
              </w:rPr>
              <w:t>经费安排</w:t>
            </w:r>
          </w:p>
        </w:tc>
      </w:tr>
      <w:tr w:rsidR="002B7BBC" w:rsidRPr="004F4071" w:rsidTr="002B7BBC">
        <w:trPr>
          <w:trHeight w:val="547"/>
          <w:jc w:val="center"/>
        </w:trPr>
        <w:tc>
          <w:tcPr>
            <w:tcW w:w="1316" w:type="dxa"/>
            <w:vMerge/>
            <w:vAlign w:val="center"/>
          </w:tcPr>
          <w:p w:rsidR="002B7BBC" w:rsidRPr="004F4071" w:rsidRDefault="002B7BBC" w:rsidP="00857157">
            <w:pPr>
              <w:jc w:val="center"/>
              <w:rPr>
                <w:rFonts w:ascii="宋体" w:hAnsi="宋体"/>
                <w:b/>
              </w:rPr>
            </w:pPr>
          </w:p>
        </w:tc>
        <w:tc>
          <w:tcPr>
            <w:tcW w:w="3953" w:type="dxa"/>
            <w:vMerge/>
            <w:vAlign w:val="center"/>
          </w:tcPr>
          <w:p w:rsidR="002B7BBC" w:rsidRPr="004F4071" w:rsidRDefault="002B7BBC" w:rsidP="002B7BBC">
            <w:pPr>
              <w:ind w:firstLineChars="50" w:firstLine="110"/>
              <w:jc w:val="center"/>
              <w:rPr>
                <w:rFonts w:ascii="宋体" w:hAnsi="宋体"/>
                <w:b/>
              </w:rPr>
            </w:pPr>
          </w:p>
        </w:tc>
        <w:tc>
          <w:tcPr>
            <w:tcW w:w="2910" w:type="dxa"/>
            <w:vMerge/>
            <w:vAlign w:val="center"/>
          </w:tcPr>
          <w:p w:rsidR="002B7BBC" w:rsidRPr="004F4071" w:rsidRDefault="002B7BBC" w:rsidP="00857157">
            <w:pPr>
              <w:jc w:val="center"/>
              <w:rPr>
                <w:rFonts w:ascii="宋体" w:hAnsi="宋体"/>
                <w:b/>
              </w:rPr>
            </w:pPr>
          </w:p>
        </w:tc>
        <w:tc>
          <w:tcPr>
            <w:tcW w:w="1035" w:type="dxa"/>
            <w:vMerge/>
            <w:vAlign w:val="center"/>
          </w:tcPr>
          <w:p w:rsidR="002B7BBC" w:rsidRPr="004F4071" w:rsidRDefault="002B7BBC" w:rsidP="00857157">
            <w:pPr>
              <w:jc w:val="center"/>
              <w:rPr>
                <w:rFonts w:ascii="宋体" w:hAnsi="宋体"/>
                <w:b/>
              </w:rPr>
            </w:pPr>
          </w:p>
        </w:tc>
        <w:tc>
          <w:tcPr>
            <w:tcW w:w="1800" w:type="dxa"/>
            <w:vMerge/>
            <w:vAlign w:val="center"/>
          </w:tcPr>
          <w:p w:rsidR="002B7BBC" w:rsidRPr="004F4071" w:rsidRDefault="002B7BBC" w:rsidP="002B7BBC">
            <w:pPr>
              <w:ind w:firstLineChars="50" w:firstLine="110"/>
              <w:jc w:val="center"/>
              <w:rPr>
                <w:rFonts w:ascii="宋体" w:hAnsi="宋体"/>
                <w:b/>
              </w:rPr>
            </w:pPr>
          </w:p>
        </w:tc>
        <w:tc>
          <w:tcPr>
            <w:tcW w:w="676" w:type="dxa"/>
            <w:vAlign w:val="center"/>
          </w:tcPr>
          <w:p w:rsidR="002B7BBC" w:rsidRPr="004F4071" w:rsidRDefault="002B7BBC" w:rsidP="00857157">
            <w:pPr>
              <w:jc w:val="center"/>
              <w:rPr>
                <w:rFonts w:ascii="宋体" w:hAnsi="宋体"/>
                <w:b/>
              </w:rPr>
            </w:pPr>
            <w:r w:rsidRPr="004F4071">
              <w:rPr>
                <w:rFonts w:ascii="宋体" w:hAnsi="宋体" w:hint="eastAsia"/>
                <w:b/>
              </w:rPr>
              <w:t>合计</w:t>
            </w:r>
          </w:p>
        </w:tc>
        <w:tc>
          <w:tcPr>
            <w:tcW w:w="690" w:type="dxa"/>
            <w:gridSpan w:val="2"/>
            <w:vAlign w:val="center"/>
          </w:tcPr>
          <w:p w:rsidR="002B7BBC" w:rsidRPr="004F4071" w:rsidRDefault="002B7BBC" w:rsidP="00857157">
            <w:pPr>
              <w:jc w:val="center"/>
              <w:rPr>
                <w:rFonts w:ascii="宋体" w:hAnsi="宋体"/>
                <w:b/>
              </w:rPr>
            </w:pPr>
            <w:r w:rsidRPr="004F4071">
              <w:rPr>
                <w:rFonts w:ascii="宋体" w:hAnsi="宋体" w:hint="eastAsia"/>
                <w:b/>
              </w:rPr>
              <w:t>本批</w:t>
            </w:r>
          </w:p>
        </w:tc>
      </w:tr>
      <w:tr w:rsidR="002B7BBC" w:rsidRPr="004F4071" w:rsidTr="002B7BBC">
        <w:trPr>
          <w:jc w:val="center"/>
        </w:trPr>
        <w:tc>
          <w:tcPr>
            <w:tcW w:w="1316"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CN2019001</w:t>
            </w:r>
          </w:p>
        </w:tc>
        <w:tc>
          <w:tcPr>
            <w:tcW w:w="3953"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‘慈茄2号’绿藤长茄新品种选育</w:t>
            </w:r>
          </w:p>
        </w:tc>
        <w:tc>
          <w:tcPr>
            <w:tcW w:w="2910"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慈溪市德清种子种苗有限公司</w:t>
            </w:r>
          </w:p>
        </w:tc>
        <w:tc>
          <w:tcPr>
            <w:tcW w:w="103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潘百荣胡旭群潘德清</w:t>
            </w:r>
          </w:p>
        </w:tc>
        <w:tc>
          <w:tcPr>
            <w:tcW w:w="1800" w:type="dxa"/>
            <w:vAlign w:val="center"/>
          </w:tcPr>
          <w:p w:rsidR="002B7BBC" w:rsidRPr="002B7BBC" w:rsidRDefault="002B7BBC" w:rsidP="002B7BBC">
            <w:pPr>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2019.10-</w:t>
            </w:r>
            <w:r w:rsidRPr="002B7BBC">
              <w:rPr>
                <w:rFonts w:asciiTheme="minorEastAsia" w:eastAsiaTheme="minorEastAsia" w:hAnsiTheme="minorEastAsia" w:cs="Arial" w:hint="eastAsia"/>
                <w:color w:val="000000"/>
                <w:sz w:val="21"/>
                <w:szCs w:val="21"/>
              </w:rPr>
              <w:t>2021.11</w:t>
            </w:r>
          </w:p>
        </w:tc>
        <w:tc>
          <w:tcPr>
            <w:tcW w:w="676"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9</w:t>
            </w:r>
          </w:p>
        </w:tc>
        <w:tc>
          <w:tcPr>
            <w:tcW w:w="690" w:type="dxa"/>
            <w:gridSpan w:val="2"/>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6</w:t>
            </w:r>
          </w:p>
        </w:tc>
      </w:tr>
      <w:tr w:rsidR="002B7BBC" w:rsidRPr="004F4071" w:rsidTr="002B7BBC">
        <w:trPr>
          <w:jc w:val="center"/>
        </w:trPr>
        <w:tc>
          <w:tcPr>
            <w:tcW w:w="1316" w:type="dxa"/>
            <w:vAlign w:val="center"/>
          </w:tcPr>
          <w:p w:rsidR="002B7BBC" w:rsidRPr="002B7BBC" w:rsidRDefault="002B7BBC" w:rsidP="00857157">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CN2019002</w:t>
            </w:r>
          </w:p>
        </w:tc>
        <w:tc>
          <w:tcPr>
            <w:tcW w:w="3953" w:type="dxa"/>
            <w:vAlign w:val="center"/>
          </w:tcPr>
          <w:p w:rsidR="002B7BBC" w:rsidRPr="002B7BBC" w:rsidRDefault="002B7BBC" w:rsidP="00857157">
            <w:pP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耐低温洋香瓜轻简化高效栽培技术示范</w:t>
            </w:r>
          </w:p>
        </w:tc>
        <w:tc>
          <w:tcPr>
            <w:tcW w:w="2910" w:type="dxa"/>
            <w:vAlign w:val="center"/>
          </w:tcPr>
          <w:p w:rsidR="002B7BBC" w:rsidRPr="002B7BBC" w:rsidRDefault="002B7BBC" w:rsidP="00857157">
            <w:pP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慈溪市森绿果蔬专业合作社</w:t>
            </w:r>
          </w:p>
        </w:tc>
        <w:tc>
          <w:tcPr>
            <w:tcW w:w="103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王迎芝茅孝仁张青松</w:t>
            </w:r>
          </w:p>
        </w:tc>
        <w:tc>
          <w:tcPr>
            <w:tcW w:w="1800" w:type="dxa"/>
            <w:vAlign w:val="center"/>
          </w:tcPr>
          <w:p w:rsidR="002B7BBC" w:rsidRPr="002B7BBC" w:rsidRDefault="002B7BBC" w:rsidP="002B7BBC">
            <w:pP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2019.10-2021.10</w:t>
            </w:r>
          </w:p>
        </w:tc>
        <w:tc>
          <w:tcPr>
            <w:tcW w:w="676" w:type="dxa"/>
            <w:vAlign w:val="center"/>
          </w:tcPr>
          <w:p w:rsidR="002B7BBC" w:rsidRPr="002B7BBC" w:rsidRDefault="002B7BBC" w:rsidP="00857157">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6</w:t>
            </w:r>
          </w:p>
        </w:tc>
        <w:tc>
          <w:tcPr>
            <w:tcW w:w="690" w:type="dxa"/>
            <w:gridSpan w:val="2"/>
            <w:vAlign w:val="center"/>
          </w:tcPr>
          <w:p w:rsidR="002B7BBC" w:rsidRPr="002B7BBC" w:rsidRDefault="002B7BBC" w:rsidP="00857157">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4</w:t>
            </w:r>
          </w:p>
        </w:tc>
      </w:tr>
      <w:tr w:rsidR="002B7BBC" w:rsidRPr="004F4071" w:rsidTr="002B7BBC">
        <w:trPr>
          <w:jc w:val="center"/>
        </w:trPr>
        <w:tc>
          <w:tcPr>
            <w:tcW w:w="1316" w:type="dxa"/>
            <w:vAlign w:val="center"/>
          </w:tcPr>
          <w:p w:rsidR="002B7BBC" w:rsidRPr="002B7BBC" w:rsidRDefault="002B7BBC" w:rsidP="00857157">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CN2019003</w:t>
            </w:r>
          </w:p>
        </w:tc>
        <w:tc>
          <w:tcPr>
            <w:tcW w:w="3953" w:type="dxa"/>
            <w:vAlign w:val="center"/>
          </w:tcPr>
          <w:p w:rsidR="002B7BBC" w:rsidRPr="002B7BBC" w:rsidRDefault="002B7BBC" w:rsidP="00857157">
            <w:pP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早春鲜食花生新品种引进及高效栽培技术研究</w:t>
            </w:r>
          </w:p>
        </w:tc>
        <w:tc>
          <w:tcPr>
            <w:tcW w:w="2910" w:type="dxa"/>
            <w:vAlign w:val="center"/>
          </w:tcPr>
          <w:p w:rsidR="002B7BBC" w:rsidRPr="002B7BBC" w:rsidRDefault="002B7BBC" w:rsidP="00857157">
            <w:pP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慈溪市农业科学研究所</w:t>
            </w:r>
          </w:p>
        </w:tc>
        <w:tc>
          <w:tcPr>
            <w:tcW w:w="103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许林英</w:t>
            </w:r>
            <w:r w:rsidRPr="002B7BBC">
              <w:rPr>
                <w:rFonts w:asciiTheme="minorEastAsia" w:eastAsiaTheme="minorEastAsia" w:hAnsiTheme="minorEastAsia" w:cs="Arial" w:hint="eastAsia"/>
                <w:color w:val="000000"/>
                <w:sz w:val="21"/>
                <w:szCs w:val="21"/>
              </w:rPr>
              <w:br/>
              <w:t>诸亚铭戚自荣</w:t>
            </w:r>
          </w:p>
        </w:tc>
        <w:tc>
          <w:tcPr>
            <w:tcW w:w="1800" w:type="dxa"/>
            <w:vAlign w:val="center"/>
          </w:tcPr>
          <w:p w:rsidR="002B7BBC" w:rsidRPr="002B7BBC" w:rsidRDefault="002B7BBC" w:rsidP="002B7BBC">
            <w:pP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2019.10-2022.09</w:t>
            </w:r>
          </w:p>
        </w:tc>
        <w:tc>
          <w:tcPr>
            <w:tcW w:w="676" w:type="dxa"/>
            <w:vAlign w:val="center"/>
          </w:tcPr>
          <w:p w:rsidR="002B7BBC" w:rsidRPr="002B7BBC" w:rsidRDefault="002B7BBC" w:rsidP="00857157">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10</w:t>
            </w:r>
          </w:p>
        </w:tc>
        <w:tc>
          <w:tcPr>
            <w:tcW w:w="690" w:type="dxa"/>
            <w:gridSpan w:val="2"/>
            <w:vAlign w:val="center"/>
          </w:tcPr>
          <w:p w:rsidR="002B7BBC" w:rsidRPr="002B7BBC" w:rsidRDefault="002B7BBC" w:rsidP="00857157">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7</w:t>
            </w:r>
          </w:p>
        </w:tc>
      </w:tr>
      <w:tr w:rsidR="002B7BBC" w:rsidRPr="004F4071" w:rsidTr="002B7BBC">
        <w:trPr>
          <w:jc w:val="center"/>
        </w:trPr>
        <w:tc>
          <w:tcPr>
            <w:tcW w:w="1316" w:type="dxa"/>
            <w:vAlign w:val="center"/>
          </w:tcPr>
          <w:p w:rsidR="002B7BBC" w:rsidRPr="002B7BBC" w:rsidRDefault="002B7BBC" w:rsidP="00857157">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CN2019004</w:t>
            </w:r>
          </w:p>
        </w:tc>
        <w:tc>
          <w:tcPr>
            <w:tcW w:w="3953" w:type="dxa"/>
            <w:vAlign w:val="center"/>
          </w:tcPr>
          <w:p w:rsidR="002B7BBC" w:rsidRPr="002B7BBC" w:rsidRDefault="002B7BBC" w:rsidP="00857157">
            <w:pP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真空预冷机结合新型冷链保鲜包装在慈溪杨梅采后预冷、包装及运输过程中的应用及研究</w:t>
            </w:r>
          </w:p>
        </w:tc>
        <w:tc>
          <w:tcPr>
            <w:tcW w:w="2910" w:type="dxa"/>
            <w:vAlign w:val="center"/>
          </w:tcPr>
          <w:p w:rsidR="002B7BBC" w:rsidRPr="002B7BBC" w:rsidRDefault="002B7BBC" w:rsidP="00857157">
            <w:pP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慈溪市戚源杨梅专业合作社</w:t>
            </w:r>
          </w:p>
        </w:tc>
        <w:tc>
          <w:tcPr>
            <w:tcW w:w="103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戚军洋孙红红柴春燕</w:t>
            </w:r>
          </w:p>
        </w:tc>
        <w:tc>
          <w:tcPr>
            <w:tcW w:w="1800" w:type="dxa"/>
            <w:vAlign w:val="center"/>
          </w:tcPr>
          <w:p w:rsidR="002B7BBC" w:rsidRPr="002B7BBC" w:rsidRDefault="002B7BBC" w:rsidP="002B7BBC">
            <w:pP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2019.11-2021.11</w:t>
            </w:r>
          </w:p>
        </w:tc>
        <w:tc>
          <w:tcPr>
            <w:tcW w:w="676" w:type="dxa"/>
            <w:vAlign w:val="center"/>
          </w:tcPr>
          <w:p w:rsidR="002B7BBC" w:rsidRPr="002B7BBC" w:rsidRDefault="002B7BBC" w:rsidP="00857157">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10</w:t>
            </w:r>
          </w:p>
        </w:tc>
        <w:tc>
          <w:tcPr>
            <w:tcW w:w="690" w:type="dxa"/>
            <w:gridSpan w:val="2"/>
            <w:vAlign w:val="center"/>
          </w:tcPr>
          <w:p w:rsidR="002B7BBC" w:rsidRPr="002B7BBC" w:rsidRDefault="002B7BBC" w:rsidP="00857157">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7</w:t>
            </w:r>
          </w:p>
        </w:tc>
      </w:tr>
      <w:tr w:rsidR="002B7BBC" w:rsidRPr="002B7BBC" w:rsidTr="002B7BBC">
        <w:trPr>
          <w:jc w:val="center"/>
        </w:trPr>
        <w:tc>
          <w:tcPr>
            <w:tcW w:w="1316" w:type="dxa"/>
            <w:tcBorders>
              <w:bottom w:val="single" w:sz="4" w:space="0" w:color="auto"/>
            </w:tcBorders>
            <w:vAlign w:val="center"/>
          </w:tcPr>
          <w:p w:rsidR="002B7BBC" w:rsidRPr="002B7BBC" w:rsidRDefault="002B7BBC" w:rsidP="00857157">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CN2019005</w:t>
            </w:r>
          </w:p>
        </w:tc>
        <w:tc>
          <w:tcPr>
            <w:tcW w:w="3953" w:type="dxa"/>
            <w:tcBorders>
              <w:bottom w:val="single" w:sz="4" w:space="0" w:color="auto"/>
            </w:tcBorders>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茭白田石蛙生态养殖技术研究与示范</w:t>
            </w:r>
          </w:p>
        </w:tc>
        <w:tc>
          <w:tcPr>
            <w:tcW w:w="2910" w:type="dxa"/>
            <w:tcBorders>
              <w:bottom w:val="single" w:sz="4" w:space="0" w:color="auto"/>
            </w:tcBorders>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慈溪市栲栳山生态农林科技有限公司</w:t>
            </w:r>
          </w:p>
        </w:tc>
        <w:tc>
          <w:tcPr>
            <w:tcW w:w="1035" w:type="dxa"/>
            <w:tcBorders>
              <w:bottom w:val="single" w:sz="4" w:space="0" w:color="auto"/>
            </w:tcBorders>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华建权孙红红毛国尧</w:t>
            </w:r>
          </w:p>
        </w:tc>
        <w:tc>
          <w:tcPr>
            <w:tcW w:w="1800" w:type="dxa"/>
            <w:tcBorders>
              <w:bottom w:val="single" w:sz="4" w:space="0" w:color="auto"/>
            </w:tcBorders>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2019.11-2021.10</w:t>
            </w:r>
          </w:p>
        </w:tc>
        <w:tc>
          <w:tcPr>
            <w:tcW w:w="676" w:type="dxa"/>
            <w:tcBorders>
              <w:bottom w:val="single" w:sz="4" w:space="0" w:color="auto"/>
            </w:tcBorders>
            <w:vAlign w:val="center"/>
          </w:tcPr>
          <w:p w:rsidR="002B7BBC" w:rsidRPr="002B7BBC" w:rsidRDefault="002B7BBC" w:rsidP="00857157">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10</w:t>
            </w:r>
          </w:p>
        </w:tc>
        <w:tc>
          <w:tcPr>
            <w:tcW w:w="690" w:type="dxa"/>
            <w:gridSpan w:val="2"/>
            <w:tcBorders>
              <w:bottom w:val="single" w:sz="4" w:space="0" w:color="auto"/>
            </w:tcBorders>
            <w:vAlign w:val="center"/>
          </w:tcPr>
          <w:p w:rsidR="002B7BBC" w:rsidRPr="002B7BBC" w:rsidRDefault="002B7BBC" w:rsidP="00857157">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7</w:t>
            </w:r>
          </w:p>
        </w:tc>
      </w:tr>
      <w:tr w:rsidR="002B7BBC" w:rsidRPr="002B7BBC" w:rsidTr="002B7BBC">
        <w:trPr>
          <w:jc w:val="center"/>
        </w:trPr>
        <w:tc>
          <w:tcPr>
            <w:tcW w:w="1316" w:type="dxa"/>
            <w:tcBorders>
              <w:top w:val="single" w:sz="4" w:space="0" w:color="auto"/>
              <w:left w:val="single" w:sz="4" w:space="0" w:color="auto"/>
              <w:bottom w:val="single" w:sz="4" w:space="0" w:color="auto"/>
              <w:right w:val="single" w:sz="4" w:space="0" w:color="auto"/>
            </w:tcBorders>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CN2019006</w:t>
            </w:r>
          </w:p>
        </w:tc>
        <w:tc>
          <w:tcPr>
            <w:tcW w:w="3953" w:type="dxa"/>
            <w:tcBorders>
              <w:top w:val="single" w:sz="4" w:space="0" w:color="auto"/>
              <w:left w:val="single" w:sz="4" w:space="0" w:color="auto"/>
              <w:bottom w:val="single" w:sz="4" w:space="0" w:color="auto"/>
              <w:right w:val="single" w:sz="4" w:space="0" w:color="auto"/>
            </w:tcBorders>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以节能为导向的民用建筑分类技术及相关节能措施在慈溪应用示范研究</w:t>
            </w:r>
          </w:p>
        </w:tc>
        <w:tc>
          <w:tcPr>
            <w:tcW w:w="2910" w:type="dxa"/>
            <w:tcBorders>
              <w:top w:val="single" w:sz="4" w:space="0" w:color="auto"/>
              <w:left w:val="single" w:sz="4" w:space="0" w:color="auto"/>
              <w:bottom w:val="single" w:sz="4" w:space="0" w:color="auto"/>
              <w:right w:val="single" w:sz="4" w:space="0" w:color="auto"/>
            </w:tcBorders>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同舟国际工程管理有限公司</w:t>
            </w:r>
          </w:p>
        </w:tc>
        <w:tc>
          <w:tcPr>
            <w:tcW w:w="1035" w:type="dxa"/>
            <w:tcBorders>
              <w:top w:val="single" w:sz="4" w:space="0" w:color="auto"/>
              <w:left w:val="single" w:sz="4" w:space="0" w:color="auto"/>
              <w:bottom w:val="single" w:sz="4" w:space="0" w:color="auto"/>
              <w:right w:val="single" w:sz="4" w:space="0" w:color="auto"/>
            </w:tcBorders>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叶东杰邓武马远力</w:t>
            </w:r>
          </w:p>
        </w:tc>
        <w:tc>
          <w:tcPr>
            <w:tcW w:w="1800" w:type="dxa"/>
            <w:tcBorders>
              <w:top w:val="single" w:sz="4" w:space="0" w:color="auto"/>
              <w:left w:val="single" w:sz="4" w:space="0" w:color="auto"/>
              <w:bottom w:val="single" w:sz="4" w:space="0" w:color="auto"/>
              <w:right w:val="single" w:sz="4" w:space="0" w:color="auto"/>
            </w:tcBorders>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2019.12-2021.11</w:t>
            </w:r>
          </w:p>
        </w:tc>
        <w:tc>
          <w:tcPr>
            <w:tcW w:w="676" w:type="dxa"/>
            <w:tcBorders>
              <w:top w:val="single" w:sz="4" w:space="0" w:color="auto"/>
              <w:left w:val="single" w:sz="4" w:space="0" w:color="auto"/>
              <w:bottom w:val="single" w:sz="4" w:space="0" w:color="auto"/>
              <w:right w:val="single" w:sz="4" w:space="0" w:color="auto"/>
            </w:tcBorders>
            <w:vAlign w:val="center"/>
          </w:tcPr>
          <w:p w:rsidR="002B7BBC" w:rsidRPr="002B7BBC" w:rsidRDefault="002B7BBC" w:rsidP="00857157">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5</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B7BBC" w:rsidRPr="002B7BBC" w:rsidRDefault="002B7BBC" w:rsidP="00857157">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4</w:t>
            </w:r>
          </w:p>
        </w:tc>
      </w:tr>
    </w:tbl>
    <w:tbl>
      <w:tblPr>
        <w:tblpPr w:leftFromText="180" w:rightFromText="180" w:vertAnchor="text" w:horzAnchor="margin" w:tblpXSpec="center" w:tblpY="1"/>
        <w:tblOverlap w:val="never"/>
        <w:tblW w:w="1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5"/>
        <w:gridCol w:w="3945"/>
        <w:gridCol w:w="2940"/>
        <w:gridCol w:w="1020"/>
        <w:gridCol w:w="1800"/>
        <w:gridCol w:w="675"/>
        <w:gridCol w:w="720"/>
      </w:tblGrid>
      <w:tr w:rsidR="002B7BBC" w:rsidRPr="002B7BBC" w:rsidTr="002B7BBC">
        <w:trPr>
          <w:trHeight w:val="882"/>
        </w:trPr>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lastRenderedPageBreak/>
              <w:t>N2019007</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硫酸软骨素蛋白多糖特异性制剂靶向递送FGF13促进脊髓神经修复的作用研究</w:t>
            </w:r>
          </w:p>
        </w:tc>
        <w:tc>
          <w:tcPr>
            <w:tcW w:w="2940"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慈溪市人民医院医疗健康集团（慈溪市人民医院）</w:t>
            </w:r>
          </w:p>
        </w:tc>
        <w:tc>
          <w:tcPr>
            <w:tcW w:w="1020" w:type="dxa"/>
            <w:vAlign w:val="center"/>
          </w:tcPr>
          <w:p w:rsidR="002B7BBC" w:rsidRPr="00A91C2E" w:rsidRDefault="002B7BBC" w:rsidP="00A91C2E">
            <w:pP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邬芬赞魏晓捷黄慧云</w:t>
            </w:r>
          </w:p>
        </w:tc>
        <w:tc>
          <w:tcPr>
            <w:tcW w:w="1800"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2019.10-2022.09</w:t>
            </w:r>
          </w:p>
        </w:tc>
        <w:tc>
          <w:tcPr>
            <w:tcW w:w="675" w:type="dxa"/>
            <w:vAlign w:val="center"/>
          </w:tcPr>
          <w:p w:rsidR="002B7BBC" w:rsidRPr="00A91C2E" w:rsidRDefault="002B7BBC" w:rsidP="00A91C2E">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3</w:t>
            </w:r>
          </w:p>
        </w:tc>
        <w:tc>
          <w:tcPr>
            <w:tcW w:w="720" w:type="dxa"/>
            <w:vAlign w:val="center"/>
          </w:tcPr>
          <w:p w:rsidR="002B7BBC" w:rsidRPr="00A91C2E" w:rsidRDefault="002B7BBC" w:rsidP="00A91C2E">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2</w:t>
            </w:r>
          </w:p>
        </w:tc>
      </w:tr>
      <w:tr w:rsidR="002B7BBC" w:rsidRPr="002B7BBC" w:rsidTr="002B7BBC">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CN2019008</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RP11-296A18.3/miR-519d-3p/CCL5轴在椎间盘退变中的作用及机制研究</w:t>
            </w:r>
          </w:p>
        </w:tc>
        <w:tc>
          <w:tcPr>
            <w:tcW w:w="2940"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慈溪市人民医院医疗健康集团（慈溪市人民医院）</w:t>
            </w:r>
          </w:p>
        </w:tc>
        <w:tc>
          <w:tcPr>
            <w:tcW w:w="1020" w:type="dxa"/>
            <w:vAlign w:val="center"/>
          </w:tcPr>
          <w:p w:rsidR="002B7BBC" w:rsidRPr="00A91C2E" w:rsidRDefault="002B7BBC" w:rsidP="00A91C2E">
            <w:pP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徐乔龙陆文杰陈坚样</w:t>
            </w:r>
          </w:p>
        </w:tc>
        <w:tc>
          <w:tcPr>
            <w:tcW w:w="1800"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2019.10-2022.09</w:t>
            </w:r>
          </w:p>
        </w:tc>
        <w:tc>
          <w:tcPr>
            <w:tcW w:w="675" w:type="dxa"/>
            <w:vAlign w:val="center"/>
          </w:tcPr>
          <w:p w:rsidR="002B7BBC" w:rsidRPr="00A91C2E" w:rsidRDefault="002B7BBC" w:rsidP="00A91C2E">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3</w:t>
            </w:r>
          </w:p>
        </w:tc>
        <w:tc>
          <w:tcPr>
            <w:tcW w:w="720" w:type="dxa"/>
            <w:vAlign w:val="center"/>
          </w:tcPr>
          <w:p w:rsidR="002B7BBC" w:rsidRPr="00A91C2E" w:rsidRDefault="002B7BBC" w:rsidP="00A91C2E">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2</w:t>
            </w:r>
          </w:p>
        </w:tc>
      </w:tr>
      <w:tr w:rsidR="002B7BBC" w:rsidRPr="002B7BBC" w:rsidTr="002B7BBC">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CN2019009</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物联网肺功能辅助区域性慢性阻塞性肺病分级诊疗体系的建立与研究</w:t>
            </w:r>
          </w:p>
        </w:tc>
        <w:tc>
          <w:tcPr>
            <w:tcW w:w="2940"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慈溪市人民医院医疗健康集团（慈溪市人民医院）</w:t>
            </w:r>
          </w:p>
        </w:tc>
        <w:tc>
          <w:tcPr>
            <w:tcW w:w="1020" w:type="dxa"/>
            <w:vAlign w:val="center"/>
          </w:tcPr>
          <w:p w:rsidR="002B7BBC" w:rsidRPr="00A91C2E" w:rsidRDefault="002B7BBC" w:rsidP="002A02B9">
            <w:pPr>
              <w:pStyle w:val="a5"/>
              <w:rPr>
                <w:rFonts w:asciiTheme="minorEastAsia" w:eastAsiaTheme="minorEastAsia" w:hAnsiTheme="minorEastAsia" w:hint="eastAsia"/>
                <w:sz w:val="21"/>
                <w:szCs w:val="21"/>
              </w:rPr>
            </w:pPr>
            <w:r w:rsidRPr="00A91C2E">
              <w:rPr>
                <w:rFonts w:asciiTheme="minorEastAsia" w:eastAsiaTheme="minorEastAsia" w:hAnsiTheme="minorEastAsia" w:hint="eastAsia"/>
                <w:sz w:val="21"/>
                <w:szCs w:val="21"/>
              </w:rPr>
              <w:t>胡征</w:t>
            </w:r>
          </w:p>
          <w:p w:rsidR="002B7BBC" w:rsidRPr="00A91C2E" w:rsidRDefault="002B7BBC" w:rsidP="002A02B9">
            <w:pPr>
              <w:pStyle w:val="a5"/>
              <w:rPr>
                <w:rFonts w:asciiTheme="minorEastAsia" w:eastAsiaTheme="minorEastAsia" w:hAnsiTheme="minorEastAsia" w:hint="eastAsia"/>
                <w:sz w:val="21"/>
                <w:szCs w:val="21"/>
              </w:rPr>
            </w:pPr>
            <w:r w:rsidRPr="00A91C2E">
              <w:rPr>
                <w:rFonts w:asciiTheme="minorEastAsia" w:eastAsiaTheme="minorEastAsia" w:hAnsiTheme="minorEastAsia" w:hint="eastAsia"/>
                <w:sz w:val="21"/>
                <w:szCs w:val="21"/>
              </w:rPr>
              <w:t>封敏</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潘金江</w:t>
            </w:r>
          </w:p>
        </w:tc>
        <w:tc>
          <w:tcPr>
            <w:tcW w:w="1800"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2019.10-2022.09</w:t>
            </w:r>
          </w:p>
        </w:tc>
        <w:tc>
          <w:tcPr>
            <w:tcW w:w="675" w:type="dxa"/>
            <w:vAlign w:val="center"/>
          </w:tcPr>
          <w:p w:rsidR="002B7BBC" w:rsidRPr="00A91C2E" w:rsidRDefault="002B7BBC" w:rsidP="00A91C2E">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3</w:t>
            </w:r>
          </w:p>
        </w:tc>
        <w:tc>
          <w:tcPr>
            <w:tcW w:w="720" w:type="dxa"/>
            <w:vAlign w:val="center"/>
          </w:tcPr>
          <w:p w:rsidR="002B7BBC" w:rsidRPr="00A91C2E" w:rsidRDefault="002B7BBC" w:rsidP="00A91C2E">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2</w:t>
            </w:r>
          </w:p>
        </w:tc>
      </w:tr>
      <w:tr w:rsidR="002B7BBC" w:rsidRPr="002B7BBC" w:rsidTr="002B7BBC">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CN2019010</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雄激素受体与三阴性乳腺癌肿瘤浸润淋巴细胞相关性及预后的研究</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慈溪市人民医院医疗健康集团（慈溪市人民医院）</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张炯炯</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郑彬</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陈湛</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2019.10-2022.09</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CN2019011</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槲皮素联合应用康复训练促进脊髓神经修复和功能改善的作用研究</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慈溪市人民医院医疗健康集团（慈溪市人民医院）</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闻路通</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陈再丰</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许晓跃</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2019.10-2022.09</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CN2019012</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Sonic hedgehog信号通路在哮喘气道重塑中作用机制的研究</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慈溪市人民医院医疗健康集团（慈溪市人民医院）</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吴栩</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熊文依</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方红霞</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2019.10-2022.09</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CN2019013</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黄芪多糖在乳腺癌新辅助化疗中的协同作用研究</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慈溪市人民医院医疗健康集团（慈溪市人民医院）</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龚沛榕</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范晓东</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胡余杰</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2019.10-2022.09</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rPr>
          <w:trHeight w:val="894"/>
        </w:trPr>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CN2019014</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α，β-不饱和双烯酮衍生物对胃癌荷瘤小鼠肿瘤生长及肿瘤浸润淋巴细胞的影响</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慈溪市人民医院医疗健康集团（慈溪市人民医院）</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乐琴琴</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余祝</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岑光力</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2019.10-2022.09</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rPr>
          <w:trHeight w:val="937"/>
        </w:trPr>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CN2019015</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气压止血带个体化LOP应用于前臂的安全有效性研究</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慈溪市人民医院医疗健康集团（慈溪市人民医院）</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徐少南</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周维锋</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徐建杰</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2019.10-2022.09</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lastRenderedPageBreak/>
              <w:t>CN2019016</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miR-141靶向作用于PHLPP介导的PI3K/Akt通路参与胃肠间质瘤侵袭的机制研究</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慈溪市人民医院医疗健康集团（慈溪市人民医院）</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朱辉</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夏溪</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余祝</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2019.10-2022.09</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CN2019017</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宫腹腔镜下输卵管疏通术对输卵管近端梗阻性不孕的治疗研究</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慈溪市人民医院医疗健康集团（慈溪市人民医院）</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陈孟君</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胡一枝</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陈建波</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2019.10-2022.09</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CN2019018</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妊娠期糖尿病产后6周糖代谢转归及影响因素分析</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慈溪市人民医院医疗健康集团（慈溪市人民医院）</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陈青红</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项颖</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茅晶晶</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2019.10-2022.09</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CN2019019</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神经电生理联合高频超声在上肢周围神经卡压综合征手术中的应用研究</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慈溪市中医医院</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张兆国</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刘超</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胡南立</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2019.12-2022.11</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CN2019020</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益气补血方联合AC-T方案治疗三阴性乳腺癌的临床疗效研究</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慈溪市中医医院</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潘丽芳</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胡文丹</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李赛凯</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2019.12-2022.11</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CN2019021</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免充气腋窝入路腔镜甲状腺手术治疗甲状腺良性肿瘤的应用研究</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慈溪市中医医院</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丁碧涛</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潘丽芳</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戴待</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2019.12-2022.11</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CN2019022</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一种经后内侧切口固定复杂胫骨平台骨折合并后内、后外侧骨块钢板的研究</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慈溪市中医医院</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严帮吉</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黄晓涛</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邹诚实</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2019.12-2022.11</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rPr>
          <w:trHeight w:val="796"/>
        </w:trPr>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CN2019023</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醋酸甲羟孕酮和地屈孕酮后半周期治疗子宫内膜单纯性增生的临床疗效评估研究</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慈溪市妇幼保健院</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卢蓉</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潘群</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邵志叶</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2019.11-2022.10</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CN2019024</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iRoot BP plus  诱导年轻恒牙牙髓再生的临床疗效评估研究</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慈溪市妇幼保健院</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胡文</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余勇明</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陆佳益</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2019.11-2022.10</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lastRenderedPageBreak/>
              <w:t>CN2019025</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高危HPV基因分型初筛联合TCT分流在本地区宫颈癌筛查中的应用及推广</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慈溪市妇幼保健院</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陈淑群</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余向红</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胡利春</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2019.11-2022.10</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CN2019026</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脑梗死合并OSAS与LDL-C及颈动脉粥样硬化发生关系研究</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慈溪市第六人民医院</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李碧磊</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龚燕青</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徐迪荣</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2019.11-2021.11</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CN2019027</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多重耐药菌在社区人群肠道中的定植状况研究</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慈溪市第六人民医院</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茹纳丹</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童陆霞</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蔡利华</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2019.11-2021.11</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CN2019028</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基于萎缩性胃炎中低级别上皮内瘤变治疗策略的临床研究</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慈溪市第三人民医院</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郭淦华</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张剑杰</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黄娟</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2019.12-2022.06</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CN2019029</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PRP结合关节镜辅助治疗低能量损伤的胫骨平台骨折</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慈溪市第三人民医院</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陈龙</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陈伟听</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黄群</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2019.12-2022.06</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CN2019030</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加用水囊法在高频探头下行小针刀治疗桡骨茎突狭窄性腱鞘炎疗效评估</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慈溪市第三人民医院</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王水清</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蔡红军</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蔡水奇</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2019.12-2022.06</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rPr>
          <w:trHeight w:val="938"/>
        </w:trPr>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CN2019031</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多基因遗传易感性在恶性间皮瘤风险评估中的应用研究</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慈溪市第三人民医院</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沈蔚</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张剑杰</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陈杰</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2019.12-2022.06</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CN2019032</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急性创伤性颅脑损伤后进展性出血性损伤高危因素分析及早期预警指标研究</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慈林医院有限公司</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翁建丰</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胡超奇</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罗立峰</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2019.11-2021.10</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rPr>
          <w:trHeight w:val="747"/>
        </w:trPr>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CN2019033</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腹腔镜下直肠癌根治术是否保留做结肠动脉临床对照与研究</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慈林医院有限公司</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张杰</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胡志浩</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王冲杰</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2019.11-2021.10</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CN2019034</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股骨髓内钉进针点快速定位器的研制及</w:t>
            </w:r>
            <w:r w:rsidRPr="00A91C2E">
              <w:rPr>
                <w:rFonts w:asciiTheme="minorEastAsia" w:eastAsiaTheme="minorEastAsia" w:hAnsiTheme="minorEastAsia" w:cs="Arial" w:hint="eastAsia"/>
                <w:color w:val="000000"/>
                <w:sz w:val="21"/>
                <w:szCs w:val="21"/>
              </w:rPr>
              <w:lastRenderedPageBreak/>
              <w:t>临床应用</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lastRenderedPageBreak/>
              <w:t>慈林医院有限公司</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陈立军</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俞伟</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lastRenderedPageBreak/>
              <w:t>褚武</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lastRenderedPageBreak/>
              <w:t>2019.11-2021.10</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lastRenderedPageBreak/>
              <w:t>CN2019035</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急危重症老年患者疾病严重程度评估体系的构建</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宁波一院龙山医院医疗健康集团（慈溪市龙山医院）</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王洲峰</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杨玉敏</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李徐恩</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2019.11-2021.12</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r w:rsidRPr="002B7BBC">
              <w:rPr>
                <w:rFonts w:asciiTheme="minorEastAsia" w:eastAsiaTheme="minorEastAsia" w:hAnsiTheme="minorEastAsia" w:cs="Arial" w:hint="eastAsia"/>
                <w:color w:val="000000"/>
                <w:sz w:val="21"/>
                <w:szCs w:val="21"/>
              </w:rPr>
              <w:t>CN2019036</w:t>
            </w: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腹部脂肪在预测急性胰腺炎严重程度中的临床价值</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宁波一院龙山医院医疗健康集团（慈溪市龙山医院）</w:t>
            </w: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阮芳科</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董晶</w:t>
            </w:r>
          </w:p>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金旭波</w:t>
            </w: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2019.11-2021.12</w:t>
            </w: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3</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2</w:t>
            </w:r>
          </w:p>
        </w:tc>
      </w:tr>
      <w:tr w:rsidR="002B7BBC" w:rsidRPr="002B7BBC" w:rsidTr="002B7BBC">
        <w:trPr>
          <w:trHeight w:val="414"/>
        </w:trPr>
        <w:tc>
          <w:tcPr>
            <w:tcW w:w="1255" w:type="dxa"/>
            <w:vAlign w:val="center"/>
          </w:tcPr>
          <w:p w:rsidR="002B7BBC" w:rsidRPr="002B7BBC" w:rsidRDefault="002B7BBC" w:rsidP="002B7BBC">
            <w:pPr>
              <w:jc w:val="center"/>
              <w:rPr>
                <w:rFonts w:asciiTheme="minorEastAsia" w:eastAsiaTheme="minorEastAsia" w:hAnsiTheme="minorEastAsia" w:cs="Arial"/>
                <w:color w:val="000000"/>
                <w:sz w:val="21"/>
                <w:szCs w:val="21"/>
              </w:rPr>
            </w:pPr>
          </w:p>
        </w:tc>
        <w:tc>
          <w:tcPr>
            <w:tcW w:w="3945" w:type="dxa"/>
            <w:vAlign w:val="center"/>
          </w:tcPr>
          <w:p w:rsidR="002B7BBC" w:rsidRPr="00A91C2E" w:rsidRDefault="002B7BBC" w:rsidP="002B7BBC">
            <w:pPr>
              <w:jc w:val="center"/>
              <w:rPr>
                <w:rFonts w:asciiTheme="minorEastAsia" w:eastAsiaTheme="minorEastAsia" w:hAnsiTheme="minorEastAsia" w:cs="Arial"/>
                <w:color w:val="000000"/>
                <w:sz w:val="21"/>
                <w:szCs w:val="21"/>
              </w:rPr>
            </w:pPr>
            <w:r w:rsidRPr="00A91C2E">
              <w:rPr>
                <w:rFonts w:asciiTheme="minorEastAsia" w:eastAsiaTheme="minorEastAsia" w:hAnsiTheme="minorEastAsia" w:cs="Arial" w:hint="eastAsia"/>
                <w:color w:val="000000"/>
                <w:sz w:val="21"/>
                <w:szCs w:val="21"/>
              </w:rPr>
              <w:t xml:space="preserve">     小  计</w:t>
            </w:r>
          </w:p>
        </w:tc>
        <w:tc>
          <w:tcPr>
            <w:tcW w:w="2940" w:type="dxa"/>
            <w:vAlign w:val="center"/>
          </w:tcPr>
          <w:p w:rsidR="002B7BBC" w:rsidRPr="00A91C2E" w:rsidRDefault="002B7BBC" w:rsidP="002A02B9">
            <w:pPr>
              <w:pStyle w:val="a5"/>
              <w:rPr>
                <w:rFonts w:asciiTheme="minorEastAsia" w:eastAsiaTheme="minorEastAsia" w:hAnsiTheme="minorEastAsia"/>
                <w:sz w:val="21"/>
                <w:szCs w:val="21"/>
              </w:rPr>
            </w:pPr>
          </w:p>
        </w:tc>
        <w:tc>
          <w:tcPr>
            <w:tcW w:w="1020" w:type="dxa"/>
            <w:vAlign w:val="center"/>
          </w:tcPr>
          <w:p w:rsidR="002B7BBC" w:rsidRPr="00A91C2E" w:rsidRDefault="002B7BBC" w:rsidP="002A02B9">
            <w:pPr>
              <w:pStyle w:val="a5"/>
              <w:rPr>
                <w:rFonts w:asciiTheme="minorEastAsia" w:eastAsiaTheme="minorEastAsia" w:hAnsiTheme="minorEastAsia"/>
                <w:sz w:val="21"/>
                <w:szCs w:val="21"/>
              </w:rPr>
            </w:pPr>
          </w:p>
        </w:tc>
        <w:tc>
          <w:tcPr>
            <w:tcW w:w="1800" w:type="dxa"/>
            <w:vAlign w:val="center"/>
          </w:tcPr>
          <w:p w:rsidR="002B7BBC" w:rsidRPr="00A91C2E" w:rsidRDefault="002B7BBC" w:rsidP="002A02B9">
            <w:pPr>
              <w:pStyle w:val="a5"/>
              <w:rPr>
                <w:rFonts w:asciiTheme="minorEastAsia" w:eastAsiaTheme="minorEastAsia" w:hAnsiTheme="minorEastAsia"/>
                <w:sz w:val="21"/>
                <w:szCs w:val="21"/>
              </w:rPr>
            </w:pPr>
          </w:p>
        </w:tc>
        <w:tc>
          <w:tcPr>
            <w:tcW w:w="675"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140</w:t>
            </w:r>
          </w:p>
        </w:tc>
        <w:tc>
          <w:tcPr>
            <w:tcW w:w="720" w:type="dxa"/>
            <w:vAlign w:val="center"/>
          </w:tcPr>
          <w:p w:rsidR="002B7BBC" w:rsidRPr="00A91C2E" w:rsidRDefault="002B7BBC" w:rsidP="00A91C2E">
            <w:pPr>
              <w:pStyle w:val="a5"/>
              <w:jc w:val="center"/>
              <w:rPr>
                <w:rFonts w:asciiTheme="minorEastAsia" w:eastAsiaTheme="minorEastAsia" w:hAnsiTheme="minorEastAsia"/>
                <w:sz w:val="21"/>
                <w:szCs w:val="21"/>
              </w:rPr>
            </w:pPr>
            <w:r w:rsidRPr="00A91C2E">
              <w:rPr>
                <w:rFonts w:asciiTheme="minorEastAsia" w:eastAsiaTheme="minorEastAsia" w:hAnsiTheme="minorEastAsia" w:hint="eastAsia"/>
                <w:sz w:val="21"/>
                <w:szCs w:val="21"/>
              </w:rPr>
              <w:t>95</w:t>
            </w:r>
          </w:p>
        </w:tc>
      </w:tr>
    </w:tbl>
    <w:p w:rsidR="002B7BBC" w:rsidRPr="002B7BBC" w:rsidRDefault="002B7BBC" w:rsidP="002B7BBC">
      <w:pPr>
        <w:jc w:val="center"/>
        <w:rPr>
          <w:rFonts w:asciiTheme="minorEastAsia" w:eastAsiaTheme="minorEastAsia" w:hAnsiTheme="minorEastAsia" w:cs="Arial"/>
          <w:color w:val="000000"/>
          <w:sz w:val="21"/>
          <w:szCs w:val="21"/>
        </w:rPr>
      </w:pPr>
    </w:p>
    <w:p w:rsidR="002B7BBC" w:rsidRPr="002B7BBC" w:rsidRDefault="002B7BBC" w:rsidP="002B7BBC">
      <w:pPr>
        <w:jc w:val="center"/>
        <w:rPr>
          <w:rFonts w:asciiTheme="minorEastAsia" w:eastAsiaTheme="minorEastAsia" w:hAnsiTheme="minorEastAsia" w:cs="Arial"/>
          <w:color w:val="000000"/>
          <w:sz w:val="21"/>
          <w:szCs w:val="21"/>
        </w:rPr>
      </w:pPr>
    </w:p>
    <w:p w:rsidR="002B7BBC" w:rsidRPr="002B7BBC" w:rsidRDefault="002B7BBC" w:rsidP="002B7BBC">
      <w:pPr>
        <w:jc w:val="center"/>
        <w:rPr>
          <w:rFonts w:asciiTheme="minorEastAsia" w:eastAsiaTheme="minorEastAsia" w:hAnsiTheme="minorEastAsia" w:cs="Arial"/>
          <w:color w:val="000000"/>
          <w:sz w:val="21"/>
          <w:szCs w:val="21"/>
        </w:rPr>
      </w:pPr>
    </w:p>
    <w:p w:rsidR="002B7BBC" w:rsidRPr="002B7BBC" w:rsidRDefault="002B7BBC" w:rsidP="002B7BBC">
      <w:pPr>
        <w:jc w:val="center"/>
        <w:rPr>
          <w:rFonts w:asciiTheme="minorEastAsia" w:eastAsiaTheme="minorEastAsia" w:hAnsiTheme="minorEastAsia" w:cs="Arial"/>
          <w:color w:val="000000"/>
          <w:sz w:val="21"/>
          <w:szCs w:val="21"/>
        </w:rPr>
      </w:pPr>
    </w:p>
    <w:p w:rsidR="002B7BBC" w:rsidRDefault="002B7BBC" w:rsidP="002B7BBC"/>
    <w:p w:rsidR="004358AB" w:rsidRDefault="004358AB" w:rsidP="00D31D50">
      <w:pPr>
        <w:spacing w:line="220" w:lineRule="atLeast"/>
      </w:pPr>
    </w:p>
    <w:sectPr w:rsidR="004358AB" w:rsidSect="002B7BBC">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D14" w:rsidRDefault="008F1D14" w:rsidP="002B7BBC">
      <w:pPr>
        <w:spacing w:after="0"/>
      </w:pPr>
      <w:r>
        <w:separator/>
      </w:r>
    </w:p>
  </w:endnote>
  <w:endnote w:type="continuationSeparator" w:id="0">
    <w:p w:rsidR="008F1D14" w:rsidRDefault="008F1D14" w:rsidP="002B7B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D14" w:rsidRDefault="008F1D14" w:rsidP="002B7BBC">
      <w:pPr>
        <w:spacing w:after="0"/>
      </w:pPr>
      <w:r>
        <w:separator/>
      </w:r>
    </w:p>
  </w:footnote>
  <w:footnote w:type="continuationSeparator" w:id="0">
    <w:p w:rsidR="008F1D14" w:rsidRDefault="008F1D14" w:rsidP="002B7BB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A02B9"/>
    <w:rsid w:val="002B7BBC"/>
    <w:rsid w:val="00323B43"/>
    <w:rsid w:val="003D37D8"/>
    <w:rsid w:val="00426133"/>
    <w:rsid w:val="004358AB"/>
    <w:rsid w:val="008B7726"/>
    <w:rsid w:val="008F1D14"/>
    <w:rsid w:val="00A91C2E"/>
    <w:rsid w:val="00D31D50"/>
    <w:rsid w:val="00FD39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7BB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B7BBC"/>
    <w:rPr>
      <w:rFonts w:ascii="Tahoma" w:hAnsi="Tahoma"/>
      <w:sz w:val="18"/>
      <w:szCs w:val="18"/>
    </w:rPr>
  </w:style>
  <w:style w:type="paragraph" w:styleId="a4">
    <w:name w:val="footer"/>
    <w:basedOn w:val="a"/>
    <w:link w:val="Char0"/>
    <w:uiPriority w:val="99"/>
    <w:semiHidden/>
    <w:unhideWhenUsed/>
    <w:rsid w:val="002B7BBC"/>
    <w:pPr>
      <w:tabs>
        <w:tab w:val="center" w:pos="4153"/>
        <w:tab w:val="right" w:pos="8306"/>
      </w:tabs>
    </w:pPr>
    <w:rPr>
      <w:sz w:val="18"/>
      <w:szCs w:val="18"/>
    </w:rPr>
  </w:style>
  <w:style w:type="character" w:customStyle="1" w:styleId="Char0">
    <w:name w:val="页脚 Char"/>
    <w:basedOn w:val="a0"/>
    <w:link w:val="a4"/>
    <w:uiPriority w:val="99"/>
    <w:semiHidden/>
    <w:rsid w:val="002B7BBC"/>
    <w:rPr>
      <w:rFonts w:ascii="Tahoma" w:hAnsi="Tahoma"/>
      <w:sz w:val="18"/>
      <w:szCs w:val="18"/>
    </w:rPr>
  </w:style>
  <w:style w:type="paragraph" w:styleId="a5">
    <w:name w:val="No Spacing"/>
    <w:uiPriority w:val="1"/>
    <w:qFormat/>
    <w:rsid w:val="002A02B9"/>
    <w:pPr>
      <w:adjustRightInd w:val="0"/>
      <w:snapToGrid w:val="0"/>
      <w:spacing w:after="0" w:line="240" w:lineRule="auto"/>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E87895-FE15-470A-8C95-3F0B3F9F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2020-03-23T06:08:00Z</dcterms:modified>
</cp:coreProperties>
</file>