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慈溪市胜山镇实验幼儿园南园区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3373128.66元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2565161.23元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 xml:space="preserve">584597.44元 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236406元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-13036.01元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514772.57元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63413.33元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183226.37元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-410元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29390.46元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85850元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106124元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47178.41元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35434.54元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35434.54元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87194.03元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4010529.8元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29929.33元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01902CA0"/>
    <w:rsid w:val="0A742678"/>
    <w:rsid w:val="0FFC4CDA"/>
    <w:rsid w:val="219C0FD7"/>
    <w:rsid w:val="2204682B"/>
    <w:rsid w:val="28354F7E"/>
    <w:rsid w:val="2FF7F61A"/>
    <w:rsid w:val="309537C1"/>
    <w:rsid w:val="3119064F"/>
    <w:rsid w:val="6AD0300C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268</Characters>
  <Lines>0</Lines>
  <Paragraphs>0</Paragraphs>
  <TotalTime>32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cp:lastPrinted>2022-04-25T02:02:00Z</cp:lastPrinted>
  <dcterms:modified xsi:type="dcterms:W3CDTF">2024-03-07T04:10:36Z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0A4BB709FC83433DB715811D00F1F3A8_13</vt:lpwstr>
  </property>
</Properties>
</file>