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关于 《</w:t>
      </w:r>
      <w:r>
        <w:rPr>
          <w:rFonts w:ascii="黑体" w:eastAsia="黑体"/>
          <w:bCs/>
          <w:sz w:val="36"/>
          <w:szCs w:val="36"/>
        </w:rPr>
        <w:t>关于推动公共文化服务高质量发展 助力建设共富共美现代化新慈溪的实施意见</w:t>
      </w:r>
      <w:r>
        <w:rPr>
          <w:rFonts w:hint="eastAsia" w:ascii="黑体" w:eastAsia="黑体"/>
          <w:bCs/>
          <w:sz w:val="36"/>
          <w:szCs w:val="36"/>
        </w:rPr>
        <w:t>》的起草说明</w:t>
      </w:r>
    </w:p>
    <w:p>
      <w:pPr>
        <w:jc w:val="center"/>
        <w:rPr>
          <w:rFonts w:hint="eastAsia" w:ascii="黑体" w:eastAsia="黑体"/>
          <w:bCs/>
          <w:sz w:val="36"/>
          <w:szCs w:val="36"/>
        </w:rPr>
      </w:pPr>
    </w:p>
    <w:p>
      <w:pPr>
        <w:snapToGrid w:val="0"/>
        <w:spacing w:line="58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　　一、起草背景</w:t>
      </w:r>
    </w:p>
    <w:p>
      <w:pPr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为深入贯彻省委办公厅、省政府办公厅《关于高质量建设公共文化服务现代化先行省的实施意见》（浙委办发）〔2021〕64号）和宁波市</w:t>
      </w:r>
      <w:r>
        <w:rPr>
          <w:rFonts w:ascii="仿宋_GB2312" w:eastAsia="仿宋_GB2312"/>
          <w:sz w:val="32"/>
          <w:szCs w:val="32"/>
        </w:rPr>
        <w:t>委办公厅、市政府办公厅《关于推进公共文化服务现代化助力共同富裕示范先行的实施意见》（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甬党办</w:t>
      </w:r>
      <w:r>
        <w:rPr>
          <w:rFonts w:hint="eastAsia" w:ascii="仿宋_GB2312" w:hAnsi="仿宋_GB2312" w:eastAsia="宋体"/>
          <w:sz w:val="32"/>
          <w:szCs w:val="32"/>
        </w:rPr>
        <w:t>〔</w:t>
      </w:r>
      <w:r>
        <w:rPr>
          <w:rFonts w:ascii="仿宋_GB2312" w:hAnsi="仿宋_GB2312" w:eastAsia="宋体"/>
          <w:sz w:val="32"/>
          <w:szCs w:val="32"/>
        </w:rPr>
        <w:t>2022</w:t>
      </w:r>
      <w:r>
        <w:rPr>
          <w:rFonts w:hint="eastAsia" w:ascii="仿宋_GB2312" w:hAnsi="仿宋_GB2312" w:eastAsia="宋体"/>
          <w:sz w:val="32"/>
          <w:szCs w:val="32"/>
        </w:rPr>
        <w:t>〕</w:t>
      </w:r>
      <w:r>
        <w:rPr>
          <w:rFonts w:hint="eastAsia" w:ascii="仿宋_GB2312" w:hAnsi="仿宋_GB2312"/>
          <w:sz w:val="32"/>
          <w:szCs w:val="32"/>
          <w:lang w:val="en-US" w:eastAsia="zh-CN"/>
        </w:rPr>
        <w:t>57</w:t>
      </w:r>
      <w:r>
        <w:rPr>
          <w:rFonts w:ascii="仿宋_GB2312" w:hAnsi="仿宋_GB2312" w:eastAsia="宋体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）精神，认真落实市委、市政府《慈溪高质量发展建设共同富裕先锋市行动计划（2021-2025年）》的部署要求，以公共文化服务高质量发展，</w:t>
      </w:r>
      <w:r>
        <w:rPr>
          <w:rFonts w:hint="eastAsia" w:ascii="仿宋_GB2312" w:eastAsia="仿宋_GB2312"/>
          <w:sz w:val="32"/>
          <w:szCs w:val="32"/>
        </w:rPr>
        <w:t>满足人民群众对美好生活新期待，</w:t>
      </w:r>
      <w:r>
        <w:rPr>
          <w:rFonts w:hint="eastAsia" w:ascii="仿宋_GB2312" w:eastAsia="仿宋_GB2312"/>
          <w:bCs/>
          <w:sz w:val="32"/>
          <w:szCs w:val="32"/>
        </w:rPr>
        <w:t>助力建设共富共美现代化新慈溪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我局牵头制订《</w:t>
      </w:r>
      <w:r>
        <w:rPr>
          <w:rFonts w:ascii="仿宋_GB2312" w:eastAsia="仿宋_GB2312"/>
          <w:bCs/>
          <w:sz w:val="32"/>
          <w:szCs w:val="32"/>
        </w:rPr>
        <w:t>关于推动公共文化服务高质量发展 助力建设共富共美现代化新慈溪的实施意见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》。</w:t>
      </w:r>
    </w:p>
    <w:p>
      <w:pPr>
        <w:snapToGrid w:val="0"/>
        <w:spacing w:line="58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二、起草过程</w:t>
      </w:r>
    </w:p>
    <w:p>
      <w:pPr>
        <w:ind w:firstLine="640" w:firstLineChars="200"/>
        <w:jc w:val="both"/>
        <w:rPr>
          <w:rFonts w:asci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政策编制工作于202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月份启动，经过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个月的调研走访，于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8月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底形成草拟稿。202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月份，召开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文化馆长、图书馆长、博物馆长及部分综合文化站代表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征求意见。其后，我局多次走访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公共文化设施单位、综合文化站、村文化礼堂等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单位，就所提的意见建议反复对接商讨评估后，吸纳了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基础设施网络建设、文化惠民服务、数字服务、公共阅读等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条款。征集相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部门意见，共收集到2条均予采纳。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三、主要内容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  <w:lang w:val="en-US" w:eastAsia="zh-CN"/>
        </w:rPr>
        <w:t>《实施意见》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省委办公厅、省政府办公厅《关于高质量建设公共文化服务现代化先行省的实施意见》（浙委办发）〔2021〕64号）和宁波市</w:t>
      </w:r>
      <w:r>
        <w:rPr>
          <w:rFonts w:ascii="仿宋_GB2312" w:eastAsia="仿宋_GB2312"/>
          <w:sz w:val="32"/>
          <w:szCs w:val="32"/>
        </w:rPr>
        <w:t>委办公厅、市政府办公厅《关于推进公共文化服务现代化助力共同富裕示范先行的实施意见》（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甬党办</w:t>
      </w:r>
      <w:r>
        <w:rPr>
          <w:rFonts w:hint="eastAsia" w:ascii="仿宋_GB2312" w:hAnsi="仿宋_GB2312" w:eastAsia="宋体"/>
          <w:sz w:val="32"/>
          <w:szCs w:val="32"/>
        </w:rPr>
        <w:t>〔</w:t>
      </w:r>
      <w:r>
        <w:rPr>
          <w:rFonts w:ascii="仿宋_GB2312" w:hAnsi="仿宋_GB2312" w:eastAsia="宋体"/>
          <w:sz w:val="32"/>
          <w:szCs w:val="32"/>
        </w:rPr>
        <w:t>2022</w:t>
      </w:r>
      <w:r>
        <w:rPr>
          <w:rFonts w:hint="eastAsia" w:ascii="仿宋_GB2312" w:hAnsi="仿宋_GB2312" w:eastAsia="宋体"/>
          <w:sz w:val="32"/>
          <w:szCs w:val="32"/>
        </w:rPr>
        <w:t>〕</w:t>
      </w:r>
      <w:r>
        <w:rPr>
          <w:rFonts w:hint="eastAsia" w:ascii="仿宋_GB2312" w:hAnsi="仿宋_GB2312"/>
          <w:sz w:val="32"/>
          <w:szCs w:val="32"/>
          <w:lang w:val="en-US" w:eastAsia="zh-CN"/>
        </w:rPr>
        <w:t>57</w:t>
      </w:r>
      <w:r>
        <w:rPr>
          <w:rFonts w:ascii="仿宋_GB2312" w:hAnsi="仿宋_GB2312" w:eastAsia="宋体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的基础上，根据</w:t>
      </w:r>
      <w:r>
        <w:rPr>
          <w:rFonts w:ascii="仿宋_GB2312" w:eastAsia="仿宋_GB2312"/>
          <w:sz w:val="32"/>
          <w:szCs w:val="32"/>
          <w:lang w:val="en-US" w:eastAsia="zh-CN"/>
        </w:rPr>
        <w:t>我市公共文化服务发展的实际，推出与我市经济发展相匹配的公共文化服务现代化标准（2021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—</w:t>
      </w:r>
      <w:r>
        <w:rPr>
          <w:rFonts w:ascii="仿宋_GB2312" w:eastAsia="仿宋_GB2312"/>
          <w:sz w:val="32"/>
          <w:szCs w:val="32"/>
          <w:lang w:val="en-US" w:eastAsia="zh-CN"/>
        </w:rPr>
        <w:t>2025年）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ascii="仿宋_GB2312" w:eastAsia="仿宋_GB2312"/>
          <w:sz w:val="32"/>
          <w:szCs w:val="32"/>
          <w:lang w:val="en-US" w:eastAsia="zh-CN"/>
        </w:rPr>
        <w:t>《实施意见》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有效期为2021—</w:t>
      </w:r>
      <w:r>
        <w:rPr>
          <w:rFonts w:ascii="仿宋_GB2312" w:eastAsia="仿宋_GB2312"/>
          <w:sz w:val="32"/>
          <w:szCs w:val="32"/>
          <w:lang w:val="en-US" w:eastAsia="zh-CN"/>
        </w:rPr>
        <w:t>2025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年。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  <w:lang w:val="en-US" w:eastAsia="zh-CN"/>
        </w:rPr>
        <w:t>《实施意见》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的主要内容</w:t>
      </w:r>
      <w:r>
        <w:rPr>
          <w:rFonts w:ascii="仿宋_GB2312" w:eastAsia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ascii="仿宋_GB2312" w:eastAsia="仿宋_GB2312"/>
          <w:sz w:val="32"/>
          <w:szCs w:val="32"/>
          <w:lang w:val="en-US" w:eastAsia="zh-CN"/>
        </w:rPr>
        <w:t>开展公共文化服务强基行动、开展公共文化服务提质行动、开展公共文化服务融合行动及发布《慈溪市公共文化服务现代化标准（2021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—</w:t>
      </w:r>
      <w:r>
        <w:rPr>
          <w:rFonts w:ascii="仿宋_GB2312" w:eastAsia="仿宋_GB2312"/>
          <w:sz w:val="32"/>
          <w:szCs w:val="32"/>
          <w:lang w:val="en-US" w:eastAsia="zh-CN"/>
        </w:rPr>
        <w:t>2025年）》。另外，对贯彻落实《实施意见》提出了保障措施，要求在加强组织领导、强化政策支持、推动工作落实三方面上进行了强调。</w:t>
      </w:r>
    </w:p>
    <w:p>
      <w:pPr>
        <w:spacing w:line="580" w:lineRule="exact"/>
        <w:rPr>
          <w:rFonts w:hint="eastAsia" w:ascii="仿宋_GB2312" w:eastAsia="仿宋_GB2312" w:cs="黑体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 w:cs="黑体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           慈溪市文化和广电旅游体育局</w:t>
      </w:r>
    </w:p>
    <w:p>
      <w:pPr>
        <w:spacing w:line="580" w:lineRule="exact"/>
        <w:ind w:firstLine="4960" w:firstLineChars="15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9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15852498"/>
    <w:rsid w:val="3CC97A2B"/>
    <w:rsid w:val="3E4E4E13"/>
    <w:rsid w:val="3FF70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871</Words>
  <Characters>933</Characters>
  <Lines>44</Lines>
  <Paragraphs>10</Paragraphs>
  <TotalTime>23</TotalTime>
  <ScaleCrop>false</ScaleCrop>
  <LinksUpToDate>false</LinksUpToDate>
  <CharactersWithSpaces>963</CharactersWithSpaces>
  <Application>WPS Office_11.8.2.9015_F1E327BC-269C-435d-A152-05C5408002CA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2022-08-16T00:24:00Z</dcterms:created>
  <dc:creator>Administrator</dc:creator>
  <cp:lastModifiedBy>Administrator</cp:lastModifiedBy>
  <dcterms:modified xsi:type="dcterms:W3CDTF">2022-09-01T08:13:51Z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