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公办幼儿园保育教育成本费用表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幼儿园名称：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慈溪市胜山镇实验幼儿园南园区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2"/>
        <w:gridCol w:w="2241"/>
        <w:gridCol w:w="3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项 目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 ）年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一、工资福利支出（元）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3808027元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1．工资、奖金和津、补贴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2565944元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2．社会保险费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507834元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3．住房公积金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734249元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4．其他支出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二、商品和服务支出（元）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561115元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1．办公费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118394元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2．物业费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151439元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3．差旅及交通费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971元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4．会议、培训费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35006元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5．租赁费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6．劳务费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11268元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7．三公经费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8．工会与福利经费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95047元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9．专用材料费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10．其他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148990元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三、对个人和家庭的补助支出（元）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46859.02元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1．离（退）休费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2．抚恤和生活补助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46859.02元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四、固定资产折旧支出（元）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192475元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五、保教总成本（元）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4608476.02元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六、单位保教成本（元/人、年）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31564.9元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MGZlNGU1ZmY3MGU0MWUwOTA2ODc5YjBlZDk5NDAifQ=="/>
  </w:docVars>
  <w:rsids>
    <w:rsidRoot w:val="2FF7F61A"/>
    <w:rsid w:val="1F9A1B60"/>
    <w:rsid w:val="28354F7E"/>
    <w:rsid w:val="2FF7F61A"/>
    <w:rsid w:val="6AD0300C"/>
    <w:rsid w:val="DF737EC1"/>
    <w:rsid w:val="DFBEB81E"/>
    <w:rsid w:val="F7EA3A93"/>
    <w:rsid w:val="FF5C9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268</Characters>
  <Lines>0</Lines>
  <Paragraphs>0</Paragraphs>
  <TotalTime>15</TotalTime>
  <ScaleCrop>false</ScaleCrop>
  <LinksUpToDate>false</LinksUpToDate>
  <CharactersWithSpaces>270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2021-11-11T09:48:00Z</dcterms:created>
  <dc:creator>chanvictor</dc:creator>
  <cp:lastModifiedBy>旦旦</cp:lastModifiedBy>
  <cp:lastPrinted>2022-04-25T02:02:00Z</cp:lastPrinted>
  <dcterms:modified xsi:type="dcterms:W3CDTF">2024-03-07T04:10:57Z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commondata">
    <vt:lpwstr>eyJoZGlkIjoiZWU2N2JhOGJhYTI4MGVlNTY1OGI2NDVkYmNhMDY1YmYifQ==</vt:lpwstr>
  </property>
  <property fmtid="{D5CDD505-2E9C-101B-9397-08002B2CF9AE}" pid="4" name="ICV">
    <vt:lpwstr>88D848BA38044F448C3194E95ED3A709</vt:lpwstr>
  </property>
</Properties>
</file>